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C67" w:rsidRPr="00871473" w:rsidRDefault="00871473" w:rsidP="00871473">
      <w:pPr>
        <w:pStyle w:val="Heading1"/>
        <w:rPr>
          <w:i/>
          <w:sz w:val="40"/>
        </w:rPr>
      </w:pPr>
      <w:r>
        <w:rPr>
          <w:rFonts w:ascii="Arial Rounded MT Bold" w:hAnsi="Arial Rounded MT Bold" w:cs="Arial"/>
          <w:b w:val="0"/>
          <w:bCs w:val="0"/>
          <w:noProof/>
          <w:szCs w:val="40"/>
          <w:shd w:val="clear" w:color="auto" w:fill="FFFFFF"/>
        </w:rPr>
        <w:drawing>
          <wp:anchor distT="0" distB="0" distL="114300" distR="114300" simplePos="0" relativeHeight="251658240" behindDoc="1" locked="0" layoutInCell="1" allowOverlap="1" wp14:anchorId="2ACE7CEA" wp14:editId="4E9AD5A7">
            <wp:simplePos x="0" y="0"/>
            <wp:positionH relativeFrom="column">
              <wp:posOffset>4196080</wp:posOffset>
            </wp:positionH>
            <wp:positionV relativeFrom="paragraph">
              <wp:posOffset>66675</wp:posOffset>
            </wp:positionV>
            <wp:extent cx="2707005" cy="17189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07005" cy="1718945"/>
                    </a:xfrm>
                    <a:prstGeom prst="rect">
                      <a:avLst/>
                    </a:prstGeom>
                    <a:noFill/>
                  </pic:spPr>
                </pic:pic>
              </a:graphicData>
            </a:graphic>
            <wp14:sizeRelH relativeFrom="page">
              <wp14:pctWidth>0</wp14:pctWidth>
            </wp14:sizeRelH>
            <wp14:sizeRelV relativeFrom="page">
              <wp14:pctHeight>0</wp14:pctHeight>
            </wp14:sizeRelV>
          </wp:anchor>
        </w:drawing>
      </w:r>
      <w:r w:rsidR="009716B8" w:rsidRPr="00871473">
        <w:rPr>
          <w:i/>
          <w:sz w:val="40"/>
        </w:rPr>
        <w:t xml:space="preserve">Special Interpreter Workshop </w:t>
      </w:r>
    </w:p>
    <w:p w:rsidR="009716B8" w:rsidRPr="00871473" w:rsidRDefault="009716B8">
      <w:pPr>
        <w:rPr>
          <w:rFonts w:ascii="Arial Rounded MT Bold" w:hAnsi="Arial Rounded MT Bold"/>
          <w:b/>
          <w:sz w:val="28"/>
          <w:szCs w:val="40"/>
        </w:rPr>
      </w:pPr>
      <w:r w:rsidRPr="00871473">
        <w:rPr>
          <w:rFonts w:ascii="Arial Rounded MT Bold" w:hAnsi="Arial Rounded MT Bold"/>
          <w:b/>
          <w:sz w:val="28"/>
          <w:szCs w:val="40"/>
        </w:rPr>
        <w:t xml:space="preserve">October </w:t>
      </w:r>
      <w:r w:rsidR="00B90EA1" w:rsidRPr="00871473">
        <w:rPr>
          <w:rFonts w:ascii="Arial Rounded MT Bold" w:hAnsi="Arial Rounded MT Bold"/>
          <w:b/>
          <w:sz w:val="28"/>
          <w:szCs w:val="40"/>
        </w:rPr>
        <w:t xml:space="preserve">1 &amp; </w:t>
      </w:r>
      <w:r w:rsidRPr="00871473">
        <w:rPr>
          <w:rFonts w:ascii="Arial Rounded MT Bold" w:hAnsi="Arial Rounded MT Bold"/>
          <w:b/>
          <w:sz w:val="28"/>
          <w:szCs w:val="40"/>
        </w:rPr>
        <w:t>2, 2014</w:t>
      </w:r>
    </w:p>
    <w:p w:rsidR="007513F1" w:rsidRPr="00871473" w:rsidRDefault="007513F1" w:rsidP="007F2C86">
      <w:pPr>
        <w:rPr>
          <w:rFonts w:ascii="Arial Rounded MT Bold" w:hAnsi="Arial Rounded MT Bold" w:cs="Arial"/>
          <w:b/>
          <w:bCs/>
          <w:sz w:val="28"/>
          <w:szCs w:val="40"/>
          <w:shd w:val="clear" w:color="auto" w:fill="FFFFFF"/>
        </w:rPr>
      </w:pPr>
      <w:r w:rsidRPr="00871473">
        <w:rPr>
          <w:rFonts w:ascii="Arial Rounded MT Bold" w:hAnsi="Arial Rounded MT Bold" w:cs="Arial"/>
          <w:b/>
          <w:bCs/>
          <w:sz w:val="28"/>
          <w:szCs w:val="40"/>
          <w:shd w:val="clear" w:color="auto" w:fill="FFFFFF"/>
        </w:rPr>
        <w:t>Embassy Suites &amp; Conference Center</w:t>
      </w:r>
      <w:r w:rsidRPr="00871473">
        <w:rPr>
          <w:rFonts w:ascii="Arial Rounded MT Bold" w:hAnsi="Arial Rounded MT Bold" w:cs="Arial"/>
          <w:b/>
          <w:bCs/>
          <w:sz w:val="28"/>
          <w:szCs w:val="40"/>
          <w:shd w:val="clear" w:color="auto" w:fill="FFFFFF"/>
        </w:rPr>
        <w:br/>
        <w:t xml:space="preserve">7600 John Q Hammons Drive; </w:t>
      </w:r>
      <w:bookmarkStart w:id="0" w:name="_GoBack"/>
      <w:bookmarkEnd w:id="0"/>
      <w:r w:rsidR="0061760F" w:rsidRPr="00871473">
        <w:rPr>
          <w:rFonts w:ascii="Arial Rounded MT Bold" w:hAnsi="Arial Rounded MT Bold" w:cs="Arial"/>
          <w:b/>
          <w:bCs/>
          <w:sz w:val="28"/>
          <w:szCs w:val="40"/>
          <w:shd w:val="clear" w:color="auto" w:fill="FFFFFF"/>
        </w:rPr>
        <w:br/>
      </w:r>
      <w:r w:rsidRPr="00871473">
        <w:rPr>
          <w:rFonts w:ascii="Arial Rounded MT Bold" w:hAnsi="Arial Rounded MT Bold" w:cs="Arial"/>
          <w:b/>
          <w:bCs/>
          <w:sz w:val="28"/>
          <w:szCs w:val="40"/>
          <w:shd w:val="clear" w:color="auto" w:fill="FFFFFF"/>
        </w:rPr>
        <w:t>Frisco, TX 75034</w:t>
      </w:r>
    </w:p>
    <w:p w:rsidR="007513F1" w:rsidRDefault="00B21820" w:rsidP="007F2C86">
      <w:pPr>
        <w:rPr>
          <w:rFonts w:ascii="Arial Rounded MT Bold" w:hAnsi="Arial Rounded MT Bold"/>
          <w:b/>
        </w:rPr>
      </w:pPr>
      <w:r w:rsidRPr="00871473">
        <w:rPr>
          <w:rFonts w:ascii="Arial Rounded MT Bold" w:hAnsi="Arial Rounded MT Bold"/>
          <w:b/>
        </w:rPr>
        <w:t>Only $100</w:t>
      </w:r>
    </w:p>
    <w:p w:rsidR="00871473" w:rsidRPr="00871473" w:rsidRDefault="00871473" w:rsidP="00871473">
      <w:pPr>
        <w:rPr>
          <w:rFonts w:ascii="Arial" w:eastAsia="Times New Roman" w:hAnsi="Arial" w:cs="Arial"/>
          <w:color w:val="222222"/>
          <w:sz w:val="20"/>
          <w:szCs w:val="20"/>
        </w:rPr>
      </w:pPr>
      <w:r>
        <w:rPr>
          <w:rFonts w:ascii="Arial Rounded MT Bold" w:hAnsi="Arial Rounded MT Bold"/>
          <w:b/>
        </w:rPr>
        <w:t>Register at</w:t>
      </w:r>
      <w:r w:rsidR="00E5613A">
        <w:rPr>
          <w:rFonts w:ascii="Arial Rounded MT Bold" w:hAnsi="Arial Rounded MT Bold"/>
          <w:b/>
        </w:rPr>
        <w:t>:</w:t>
      </w:r>
      <w:r>
        <w:rPr>
          <w:rFonts w:ascii="Arial Rounded MT Bold" w:hAnsi="Arial Rounded MT Bold"/>
          <w:b/>
        </w:rPr>
        <w:t xml:space="preserve"> </w:t>
      </w:r>
      <w:r>
        <w:rPr>
          <w:rFonts w:ascii="Times New Roman" w:eastAsia="Times New Roman" w:hAnsi="Times New Roman" w:cs="Times New Roman"/>
          <w:sz w:val="24"/>
          <w:szCs w:val="24"/>
        </w:rPr>
        <w:t xml:space="preserve"> </w:t>
      </w:r>
      <w:hyperlink r:id="rId6" w:tgtFrame="_blank" w:history="1">
        <w:r w:rsidRPr="00871473">
          <w:rPr>
            <w:rFonts w:ascii="Arial" w:eastAsia="Times New Roman" w:hAnsi="Arial" w:cs="Arial"/>
            <w:color w:val="1155CC"/>
            <w:szCs w:val="20"/>
            <w:u w:val="single"/>
            <w:shd w:val="clear" w:color="auto" w:fill="FFFFFF"/>
          </w:rPr>
          <w:t>http://www.thetranweb.org/event/TRAN19</w:t>
        </w:r>
      </w:hyperlink>
      <w:r w:rsidRPr="00871473">
        <w:rPr>
          <w:rFonts w:ascii="Times New Roman" w:eastAsia="Times New Roman" w:hAnsi="Times New Roman" w:cs="Times New Roman"/>
          <w:sz w:val="28"/>
          <w:szCs w:val="24"/>
        </w:rPr>
        <w:t xml:space="preserve"> </w:t>
      </w:r>
      <w:r w:rsidRPr="00E5613A">
        <w:rPr>
          <w:rFonts w:ascii="Arial Rounded MT Bold" w:eastAsia="Times New Roman" w:hAnsi="Arial Rounded MT Bold" w:cs="Arial"/>
          <w:b/>
          <w:color w:val="222222"/>
          <w:szCs w:val="20"/>
        </w:rPr>
        <w:t xml:space="preserve">Use </w:t>
      </w:r>
      <w:r w:rsidRPr="00871473">
        <w:rPr>
          <w:rFonts w:ascii="Arial Rounded MT Bold" w:eastAsia="Times New Roman" w:hAnsi="Arial Rounded MT Bold" w:cs="Arial"/>
          <w:b/>
          <w:color w:val="222222"/>
          <w:szCs w:val="20"/>
        </w:rPr>
        <w:t>promo code:</w:t>
      </w:r>
      <w:r w:rsidR="00E1543B">
        <w:rPr>
          <w:rFonts w:ascii="Arial Rounded MT Bold" w:eastAsia="Times New Roman" w:hAnsi="Arial Rounded MT Bold" w:cs="Arial"/>
          <w:color w:val="FF0000"/>
          <w:szCs w:val="20"/>
          <w:shd w:val="clear" w:color="auto" w:fill="FFFFFF"/>
        </w:rPr>
        <w:t xml:space="preserve"> Terp100</w:t>
      </w:r>
    </w:p>
    <w:tbl>
      <w:tblPr>
        <w:tblStyle w:val="TableGrid"/>
        <w:tblW w:w="11070" w:type="dxa"/>
        <w:tblLook w:val="04A0" w:firstRow="1" w:lastRow="0" w:firstColumn="1" w:lastColumn="0" w:noHBand="0" w:noVBand="1"/>
      </w:tblPr>
      <w:tblGrid>
        <w:gridCol w:w="1710"/>
        <w:gridCol w:w="9360"/>
      </w:tblGrid>
      <w:tr w:rsidR="0061760F" w:rsidRPr="0061760F" w:rsidTr="00871473">
        <w:trPr>
          <w:trHeight w:val="540"/>
        </w:trPr>
        <w:tc>
          <w:tcPr>
            <w:tcW w:w="11070" w:type="dxa"/>
            <w:gridSpan w:val="2"/>
            <w:noWrap/>
            <w:hideMark/>
          </w:tcPr>
          <w:p w:rsidR="0061760F" w:rsidRPr="0061760F" w:rsidRDefault="0061760F" w:rsidP="0061760F">
            <w:pPr>
              <w:rPr>
                <w:b/>
                <w:bCs/>
              </w:rPr>
            </w:pPr>
            <w:r w:rsidRPr="0061760F">
              <w:rPr>
                <w:b/>
                <w:bCs/>
              </w:rPr>
              <w:t>Workshop Descriptions</w:t>
            </w:r>
          </w:p>
        </w:tc>
      </w:tr>
      <w:tr w:rsidR="0061760F" w:rsidRPr="0061760F" w:rsidTr="00871473">
        <w:trPr>
          <w:trHeight w:val="615"/>
        </w:trPr>
        <w:tc>
          <w:tcPr>
            <w:tcW w:w="11070" w:type="dxa"/>
            <w:gridSpan w:val="2"/>
            <w:noWrap/>
            <w:hideMark/>
          </w:tcPr>
          <w:p w:rsidR="0061760F" w:rsidRPr="0061760F" w:rsidRDefault="0061760F" w:rsidP="0061760F">
            <w:pPr>
              <w:rPr>
                <w:b/>
                <w:bCs/>
              </w:rPr>
            </w:pPr>
            <w:r w:rsidRPr="0061760F">
              <w:rPr>
                <w:b/>
                <w:bCs/>
              </w:rPr>
              <w:t>Wednesday, October 1</w:t>
            </w:r>
            <w:r w:rsidRPr="0061760F">
              <w:rPr>
                <w:b/>
                <w:bCs/>
                <w:vertAlign w:val="superscript"/>
              </w:rPr>
              <w:t>st</w:t>
            </w:r>
            <w:r w:rsidRPr="0061760F">
              <w:rPr>
                <w:b/>
                <w:bCs/>
              </w:rPr>
              <w:t xml:space="preserve"> </w:t>
            </w:r>
          </w:p>
        </w:tc>
      </w:tr>
      <w:tr w:rsidR="0061760F" w:rsidRPr="0061760F" w:rsidTr="00871473">
        <w:trPr>
          <w:trHeight w:val="570"/>
        </w:trPr>
        <w:tc>
          <w:tcPr>
            <w:tcW w:w="11070" w:type="dxa"/>
            <w:gridSpan w:val="2"/>
            <w:noWrap/>
            <w:hideMark/>
          </w:tcPr>
          <w:p w:rsidR="0061760F" w:rsidRPr="0061760F" w:rsidRDefault="00871473" w:rsidP="0061760F">
            <w:pPr>
              <w:rPr>
                <w:b/>
                <w:bCs/>
              </w:rPr>
            </w:pPr>
            <w:r>
              <w:rPr>
                <w:b/>
                <w:bCs/>
              </w:rPr>
              <w:t>3:3</w:t>
            </w:r>
            <w:r w:rsidR="0061760F" w:rsidRPr="0061760F">
              <w:rPr>
                <w:b/>
                <w:bCs/>
              </w:rPr>
              <w:t>0 – 5:00 PM</w:t>
            </w:r>
          </w:p>
        </w:tc>
      </w:tr>
      <w:tr w:rsidR="0061760F" w:rsidRPr="0061760F" w:rsidTr="00871473">
        <w:trPr>
          <w:trHeight w:val="405"/>
        </w:trPr>
        <w:tc>
          <w:tcPr>
            <w:tcW w:w="1710" w:type="dxa"/>
            <w:noWrap/>
            <w:hideMark/>
          </w:tcPr>
          <w:p w:rsidR="0061760F" w:rsidRPr="0061760F" w:rsidRDefault="0061760F">
            <w:pPr>
              <w:rPr>
                <w:b/>
                <w:bCs/>
              </w:rPr>
            </w:pPr>
            <w:r w:rsidRPr="0061760F">
              <w:rPr>
                <w:b/>
                <w:bCs/>
              </w:rPr>
              <w:t>Frisco 3</w:t>
            </w:r>
          </w:p>
        </w:tc>
        <w:tc>
          <w:tcPr>
            <w:tcW w:w="9360" w:type="dxa"/>
            <w:hideMark/>
          </w:tcPr>
          <w:p w:rsidR="0061760F" w:rsidRPr="0061760F" w:rsidRDefault="0061760F">
            <w:pPr>
              <w:rPr>
                <w:b/>
                <w:bCs/>
              </w:rPr>
            </w:pPr>
            <w:r w:rsidRPr="0061760F">
              <w:rPr>
                <w:b/>
                <w:bCs/>
              </w:rPr>
              <w:t xml:space="preserve">Federal Relay: Equivalent Telecommunication Access - Mark Seeger </w:t>
            </w:r>
          </w:p>
        </w:tc>
      </w:tr>
      <w:tr w:rsidR="0061760F" w:rsidRPr="0061760F" w:rsidTr="00871473">
        <w:trPr>
          <w:trHeight w:val="1835"/>
        </w:trPr>
        <w:tc>
          <w:tcPr>
            <w:tcW w:w="1710" w:type="dxa"/>
            <w:noWrap/>
            <w:hideMark/>
          </w:tcPr>
          <w:p w:rsidR="0061760F" w:rsidRPr="0061760F" w:rsidRDefault="0061760F">
            <w:pPr>
              <w:rPr>
                <w:b/>
                <w:bCs/>
              </w:rPr>
            </w:pPr>
            <w:r w:rsidRPr="0061760F">
              <w:rPr>
                <w:b/>
                <w:bCs/>
              </w:rPr>
              <w:t xml:space="preserve"> </w:t>
            </w:r>
          </w:p>
        </w:tc>
        <w:tc>
          <w:tcPr>
            <w:tcW w:w="9360" w:type="dxa"/>
            <w:hideMark/>
          </w:tcPr>
          <w:p w:rsidR="0061760F" w:rsidRPr="0061760F" w:rsidRDefault="0061760F">
            <w:r w:rsidRPr="0061760F">
              <w:t>This workshop discusses the unique communication access tools exclusively available to clients placed with Federal Employers (these services are not available to the general public).  This allows much greater success in with employment and career advancement.  Services include federally funded:</w:t>
            </w:r>
            <w:r w:rsidRPr="0061760F">
              <w:br/>
              <w:t>§  On Demand Remote CART (RCC)</w:t>
            </w:r>
            <w:r w:rsidRPr="0061760F">
              <w:br/>
              <w:t xml:space="preserve">§  On Demand Same Room Video Remote Interpreting  </w:t>
            </w:r>
            <w:r w:rsidRPr="0061760F">
              <w:br/>
              <w:t xml:space="preserve">§  On Demand Secure Video Relay Service (IRS, CIA, NSA, </w:t>
            </w:r>
            <w:proofErr w:type="spellStart"/>
            <w:r w:rsidRPr="0061760F">
              <w:t>etc</w:t>
            </w:r>
            <w:proofErr w:type="spellEnd"/>
            <w:r w:rsidRPr="0061760F">
              <w:t>)</w:t>
            </w:r>
          </w:p>
        </w:tc>
      </w:tr>
      <w:tr w:rsidR="0061760F" w:rsidRPr="0061760F" w:rsidTr="00871473">
        <w:trPr>
          <w:trHeight w:val="405"/>
        </w:trPr>
        <w:tc>
          <w:tcPr>
            <w:tcW w:w="1710" w:type="dxa"/>
            <w:noWrap/>
            <w:hideMark/>
          </w:tcPr>
          <w:p w:rsidR="0061760F" w:rsidRPr="0061760F" w:rsidRDefault="0061760F">
            <w:pPr>
              <w:rPr>
                <w:b/>
                <w:bCs/>
              </w:rPr>
            </w:pPr>
            <w:r w:rsidRPr="0061760F">
              <w:rPr>
                <w:b/>
                <w:bCs/>
              </w:rPr>
              <w:t>Frisco 9</w:t>
            </w:r>
          </w:p>
        </w:tc>
        <w:tc>
          <w:tcPr>
            <w:tcW w:w="9360" w:type="dxa"/>
            <w:hideMark/>
          </w:tcPr>
          <w:p w:rsidR="0061760F" w:rsidRPr="0061760F" w:rsidRDefault="0061760F">
            <w:pPr>
              <w:rPr>
                <w:b/>
                <w:bCs/>
              </w:rPr>
            </w:pPr>
            <w:r w:rsidRPr="0061760F">
              <w:rPr>
                <w:b/>
                <w:bCs/>
              </w:rPr>
              <w:t xml:space="preserve">Overcoming Communication Barriers; Signing @ Work™ -  </w:t>
            </w:r>
            <w:proofErr w:type="spellStart"/>
            <w:r w:rsidRPr="0061760F">
              <w:rPr>
                <w:b/>
                <w:bCs/>
              </w:rPr>
              <w:t>Che</w:t>
            </w:r>
            <w:proofErr w:type="spellEnd"/>
            <w:r w:rsidRPr="0061760F">
              <w:rPr>
                <w:b/>
                <w:bCs/>
              </w:rPr>
              <w:t xml:space="preserve"> Hill</w:t>
            </w:r>
          </w:p>
        </w:tc>
      </w:tr>
      <w:tr w:rsidR="0061760F" w:rsidRPr="0061760F" w:rsidTr="00871473">
        <w:trPr>
          <w:trHeight w:val="2555"/>
        </w:trPr>
        <w:tc>
          <w:tcPr>
            <w:tcW w:w="1710" w:type="dxa"/>
            <w:noWrap/>
            <w:hideMark/>
          </w:tcPr>
          <w:p w:rsidR="0061760F" w:rsidRPr="0061760F" w:rsidRDefault="0061760F">
            <w:pPr>
              <w:rPr>
                <w:b/>
                <w:bCs/>
              </w:rPr>
            </w:pPr>
            <w:r w:rsidRPr="0061760F">
              <w:rPr>
                <w:b/>
                <w:bCs/>
              </w:rPr>
              <w:t xml:space="preserve"> </w:t>
            </w:r>
          </w:p>
        </w:tc>
        <w:tc>
          <w:tcPr>
            <w:tcW w:w="9360" w:type="dxa"/>
            <w:hideMark/>
          </w:tcPr>
          <w:p w:rsidR="0061760F" w:rsidRPr="0061760F" w:rsidRDefault="0061760F">
            <w:r w:rsidRPr="0061760F">
              <w:t xml:space="preserve">This course will provide insight into the Deaf and Hard of Hearing culture and teach basic American Sign Language communication techniques. This training course will explore how to improve communication with consumers, selecting appropriate services, cost cutting measures for stretching your budget, and helping individuals that are Deaf and Hard of </w:t>
            </w:r>
            <w:proofErr w:type="gramStart"/>
            <w:r w:rsidRPr="0061760F">
              <w:t>Hearing  obtain</w:t>
            </w:r>
            <w:proofErr w:type="gramEnd"/>
            <w:r w:rsidRPr="0061760F">
              <w:t xml:space="preserve"> and keep gainful employment. Attendees will be provided with:</w:t>
            </w:r>
            <w:r w:rsidRPr="0061760F">
              <w:br/>
              <w:t>§ Information referencing apps and other resources to in improve communication individuals that are Deaf and hard of hearing</w:t>
            </w:r>
            <w:r w:rsidRPr="0061760F">
              <w:br/>
              <w:t>§ A logo and certificate that identifies your company/organization as ‘Deaf Friendly’ for use on your website and marketing materials</w:t>
            </w:r>
          </w:p>
        </w:tc>
      </w:tr>
      <w:tr w:rsidR="0061760F" w:rsidRPr="0061760F" w:rsidTr="00871473">
        <w:trPr>
          <w:trHeight w:val="570"/>
        </w:trPr>
        <w:tc>
          <w:tcPr>
            <w:tcW w:w="11070" w:type="dxa"/>
            <w:gridSpan w:val="2"/>
            <w:noWrap/>
            <w:hideMark/>
          </w:tcPr>
          <w:p w:rsidR="0061760F" w:rsidRPr="0061760F" w:rsidRDefault="0061760F" w:rsidP="0061760F">
            <w:pPr>
              <w:rPr>
                <w:b/>
                <w:bCs/>
              </w:rPr>
            </w:pPr>
            <w:r w:rsidRPr="0061760F">
              <w:rPr>
                <w:b/>
                <w:bCs/>
              </w:rPr>
              <w:t xml:space="preserve">Thursday, October 2nd </w:t>
            </w:r>
          </w:p>
        </w:tc>
      </w:tr>
      <w:tr w:rsidR="0061760F" w:rsidRPr="0061760F" w:rsidTr="00871473">
        <w:trPr>
          <w:trHeight w:val="570"/>
        </w:trPr>
        <w:tc>
          <w:tcPr>
            <w:tcW w:w="11070" w:type="dxa"/>
            <w:gridSpan w:val="2"/>
            <w:noWrap/>
            <w:hideMark/>
          </w:tcPr>
          <w:p w:rsidR="0061760F" w:rsidRPr="0061760F" w:rsidRDefault="0061760F" w:rsidP="0061760F">
            <w:pPr>
              <w:rPr>
                <w:b/>
                <w:bCs/>
              </w:rPr>
            </w:pPr>
            <w:r w:rsidRPr="0061760F">
              <w:rPr>
                <w:b/>
                <w:bCs/>
              </w:rPr>
              <w:t>8:00 – 9:30</w:t>
            </w:r>
          </w:p>
        </w:tc>
      </w:tr>
      <w:tr w:rsidR="0061760F" w:rsidRPr="0061760F" w:rsidTr="00871473">
        <w:trPr>
          <w:trHeight w:val="810"/>
        </w:trPr>
        <w:tc>
          <w:tcPr>
            <w:tcW w:w="1710" w:type="dxa"/>
            <w:noWrap/>
            <w:hideMark/>
          </w:tcPr>
          <w:p w:rsidR="0061760F" w:rsidRPr="0061760F" w:rsidRDefault="0061760F">
            <w:pPr>
              <w:rPr>
                <w:b/>
                <w:bCs/>
              </w:rPr>
            </w:pPr>
            <w:r w:rsidRPr="0061760F">
              <w:rPr>
                <w:b/>
                <w:bCs/>
              </w:rPr>
              <w:t>Frisco 3</w:t>
            </w:r>
          </w:p>
        </w:tc>
        <w:tc>
          <w:tcPr>
            <w:tcW w:w="9360" w:type="dxa"/>
            <w:hideMark/>
          </w:tcPr>
          <w:p w:rsidR="0061760F" w:rsidRPr="0061760F" w:rsidRDefault="0061760F">
            <w:pPr>
              <w:rPr>
                <w:b/>
                <w:bCs/>
              </w:rPr>
            </w:pPr>
            <w:r w:rsidRPr="0061760F">
              <w:rPr>
                <w:b/>
                <w:bCs/>
              </w:rPr>
              <w:t>ASL Version What Happens to Social Security Cash Benefits, Medicare and Medicaid When A Consumer Works? - John Coburn &amp; Lora Ulloa</w:t>
            </w:r>
          </w:p>
        </w:tc>
      </w:tr>
      <w:tr w:rsidR="0061760F" w:rsidRPr="0061760F" w:rsidTr="00871473">
        <w:trPr>
          <w:trHeight w:val="2240"/>
        </w:trPr>
        <w:tc>
          <w:tcPr>
            <w:tcW w:w="1710" w:type="dxa"/>
            <w:noWrap/>
            <w:hideMark/>
          </w:tcPr>
          <w:p w:rsidR="0061760F" w:rsidRPr="0061760F" w:rsidRDefault="0061760F">
            <w:pPr>
              <w:rPr>
                <w:b/>
                <w:bCs/>
              </w:rPr>
            </w:pPr>
            <w:r w:rsidRPr="0061760F">
              <w:rPr>
                <w:b/>
                <w:bCs/>
              </w:rPr>
              <w:lastRenderedPageBreak/>
              <w:t xml:space="preserve"> </w:t>
            </w:r>
          </w:p>
        </w:tc>
        <w:tc>
          <w:tcPr>
            <w:tcW w:w="9360" w:type="dxa"/>
            <w:hideMark/>
          </w:tcPr>
          <w:p w:rsidR="0061760F" w:rsidRPr="0061760F" w:rsidRDefault="0061760F">
            <w:r w:rsidRPr="0061760F">
              <w:t xml:space="preserve">Consumers are concerned about the impact of employment income on continued access to Social Security cash benefits, Medicare or Medicaid.   The rules are complex and confusing.   The system can be difficult to navigate.   This can be particularly true for individuals whose primary language is American Sign Language.   This session will provide a basic overview of the Social Security Administration cash assistance programs, Medicare and Medicaid and </w:t>
            </w:r>
            <w:proofErr w:type="gramStart"/>
            <w:r w:rsidRPr="0061760F">
              <w:t>their  work</w:t>
            </w:r>
            <w:proofErr w:type="gramEnd"/>
            <w:r w:rsidRPr="0061760F">
              <w:t xml:space="preserve"> incentives.   The presentation will be delivered in American Sign Language by a DARS VR Counselor for consumers who are Deaf.   After the presentation, the presenters will discuss strategies for delivering this material to consumers who are Deaf in an accessible and understandable way.        </w:t>
            </w:r>
          </w:p>
        </w:tc>
      </w:tr>
      <w:tr w:rsidR="0061760F" w:rsidRPr="0061760F" w:rsidTr="00871473">
        <w:trPr>
          <w:trHeight w:val="570"/>
        </w:trPr>
        <w:tc>
          <w:tcPr>
            <w:tcW w:w="11070" w:type="dxa"/>
            <w:gridSpan w:val="2"/>
            <w:hideMark/>
          </w:tcPr>
          <w:p w:rsidR="0061760F" w:rsidRPr="0061760F" w:rsidRDefault="0061760F" w:rsidP="0061760F">
            <w:pPr>
              <w:rPr>
                <w:b/>
                <w:bCs/>
              </w:rPr>
            </w:pPr>
            <w:r w:rsidRPr="0061760F">
              <w:rPr>
                <w:b/>
                <w:bCs/>
              </w:rPr>
              <w:t>9:45-11:15</w:t>
            </w:r>
          </w:p>
        </w:tc>
      </w:tr>
      <w:tr w:rsidR="0061760F" w:rsidRPr="0061760F" w:rsidTr="00871473">
        <w:trPr>
          <w:trHeight w:val="405"/>
        </w:trPr>
        <w:tc>
          <w:tcPr>
            <w:tcW w:w="1710" w:type="dxa"/>
            <w:noWrap/>
            <w:hideMark/>
          </w:tcPr>
          <w:p w:rsidR="0061760F" w:rsidRPr="0061760F" w:rsidRDefault="0061760F">
            <w:pPr>
              <w:rPr>
                <w:b/>
                <w:bCs/>
              </w:rPr>
            </w:pPr>
            <w:r w:rsidRPr="0061760F">
              <w:rPr>
                <w:b/>
                <w:bCs/>
              </w:rPr>
              <w:t>Frisco 3</w:t>
            </w:r>
          </w:p>
        </w:tc>
        <w:tc>
          <w:tcPr>
            <w:tcW w:w="9360" w:type="dxa"/>
            <w:hideMark/>
          </w:tcPr>
          <w:p w:rsidR="0061760F" w:rsidRPr="0061760F" w:rsidRDefault="0061760F">
            <w:pPr>
              <w:rPr>
                <w:b/>
                <w:bCs/>
              </w:rPr>
            </w:pPr>
            <w:r w:rsidRPr="0061760F">
              <w:rPr>
                <w:b/>
                <w:bCs/>
              </w:rPr>
              <w:t>Interpreters in VR Settings: Ethical Constructs and Decision Making - Randi Turner</w:t>
            </w:r>
          </w:p>
        </w:tc>
      </w:tr>
      <w:tr w:rsidR="0061760F" w:rsidRPr="0061760F" w:rsidTr="00871473">
        <w:trPr>
          <w:trHeight w:val="4040"/>
        </w:trPr>
        <w:tc>
          <w:tcPr>
            <w:tcW w:w="1710" w:type="dxa"/>
            <w:noWrap/>
            <w:hideMark/>
          </w:tcPr>
          <w:p w:rsidR="0061760F" w:rsidRPr="0061760F" w:rsidRDefault="0061760F">
            <w:pPr>
              <w:rPr>
                <w:b/>
                <w:bCs/>
              </w:rPr>
            </w:pPr>
            <w:r w:rsidRPr="0061760F">
              <w:rPr>
                <w:b/>
                <w:bCs/>
              </w:rPr>
              <w:t xml:space="preserve"> </w:t>
            </w:r>
          </w:p>
        </w:tc>
        <w:tc>
          <w:tcPr>
            <w:tcW w:w="9360" w:type="dxa"/>
            <w:hideMark/>
          </w:tcPr>
          <w:p w:rsidR="0061760F" w:rsidRPr="0061760F" w:rsidRDefault="0061760F">
            <w:r w:rsidRPr="0061760F">
              <w:t xml:space="preserve">This session will introduce participants to the theoretical constructs that guide ethical decision making of all professional service providers, and will help participants develop an awareness of how these theoretical constructs underpin codes of professional conduct. Participants will also be acquainted with the ethical standards and practices that drive the work of VR counselors and the current theories regarding the role of the sign language interpreter. Also, participants will become familiar with strategies and tools for ethical decision-making while working in VR settings. The application of the NAD-RID Code of Professional Conduct (CPC) as a foundation for interpreter decision making will be studied. Case study analysis will be used to explore decision latitude that is part of mature ethical decision- making of interpreting practitioners. </w:t>
            </w:r>
            <w:r w:rsidRPr="0061760F">
              <w:br/>
              <w:t>Although the focus of this session is to assist sign language interpreters in their ethical decision making efforts, many strategies cross over to other disciplines, thus, VR counselors may find benefit in this session.  This session is based on research based curriculum, development by the National Consortium of Interpreter Education Centers under a grant from the U. S. Department of Education, Rehabilitation Services Administration.</w:t>
            </w:r>
          </w:p>
        </w:tc>
      </w:tr>
      <w:tr w:rsidR="0061760F" w:rsidRPr="0061760F" w:rsidTr="00871473">
        <w:trPr>
          <w:trHeight w:val="525"/>
        </w:trPr>
        <w:tc>
          <w:tcPr>
            <w:tcW w:w="1710" w:type="dxa"/>
            <w:noWrap/>
            <w:hideMark/>
          </w:tcPr>
          <w:p w:rsidR="0061760F" w:rsidRPr="0061760F" w:rsidRDefault="0061760F">
            <w:pPr>
              <w:rPr>
                <w:b/>
                <w:bCs/>
              </w:rPr>
            </w:pPr>
            <w:r w:rsidRPr="0061760F">
              <w:rPr>
                <w:b/>
                <w:bCs/>
              </w:rPr>
              <w:t>Frisco 5</w:t>
            </w:r>
          </w:p>
        </w:tc>
        <w:tc>
          <w:tcPr>
            <w:tcW w:w="9360" w:type="dxa"/>
            <w:hideMark/>
          </w:tcPr>
          <w:p w:rsidR="0061760F" w:rsidRPr="0061760F" w:rsidRDefault="0061760F">
            <w:pPr>
              <w:rPr>
                <w:b/>
                <w:bCs/>
              </w:rPr>
            </w:pPr>
            <w:r w:rsidRPr="0061760F">
              <w:rPr>
                <w:b/>
                <w:bCs/>
              </w:rPr>
              <w:t>Sorry, You're Deaf.  You Can't Work Here - Melissa Bell</w:t>
            </w:r>
          </w:p>
        </w:tc>
      </w:tr>
      <w:tr w:rsidR="0061760F" w:rsidRPr="0061760F" w:rsidTr="00871473">
        <w:trPr>
          <w:trHeight w:val="3320"/>
        </w:trPr>
        <w:tc>
          <w:tcPr>
            <w:tcW w:w="1710" w:type="dxa"/>
            <w:noWrap/>
            <w:hideMark/>
          </w:tcPr>
          <w:p w:rsidR="0061760F" w:rsidRPr="0061760F" w:rsidRDefault="0061760F">
            <w:pPr>
              <w:rPr>
                <w:b/>
                <w:bCs/>
              </w:rPr>
            </w:pPr>
            <w:r w:rsidRPr="0061760F">
              <w:rPr>
                <w:b/>
                <w:bCs/>
              </w:rPr>
              <w:t xml:space="preserve"> </w:t>
            </w:r>
          </w:p>
        </w:tc>
        <w:tc>
          <w:tcPr>
            <w:tcW w:w="9360" w:type="dxa"/>
            <w:hideMark/>
          </w:tcPr>
          <w:p w:rsidR="0061760F" w:rsidRPr="0061760F" w:rsidRDefault="0061760F">
            <w:r w:rsidRPr="0061760F">
              <w:t>Professionals serving persons who are D/deaf or hard of hearing have been charged with three tasks:  educate, educate, educate.  It is a constant job of 1) educating and empowering consumers to believe they can pursue their dreams, 2) educating professionals on ways they can support consumers in realizing their full potential, and 3) educating society as a whole to break down stereotypes and misconceptions about this population. .  In this session, we will:</w:t>
            </w:r>
            <w:r w:rsidRPr="0061760F">
              <w:br/>
              <w:t xml:space="preserve">- explore types of employment persons with hearing loss cannot enter (you might be surprised to discover how few there are!), </w:t>
            </w:r>
            <w:r w:rsidRPr="0061760F">
              <w:br/>
              <w:t>- review the legalities of employing and accommodating (ADA, Rehab Act Section 501, reasonable accommodations, direct threat), and</w:t>
            </w:r>
            <w:r w:rsidRPr="0061760F">
              <w:br/>
              <w:t>- discuss how to address resistance from consumers who feel they can’t succeed, employers concerned about liability issues, and a society that doesn’t  yet realize persons with hearing loss can do anything but hear!</w:t>
            </w:r>
          </w:p>
        </w:tc>
      </w:tr>
      <w:tr w:rsidR="0061760F" w:rsidRPr="0061760F" w:rsidTr="00871473">
        <w:trPr>
          <w:trHeight w:val="570"/>
        </w:trPr>
        <w:tc>
          <w:tcPr>
            <w:tcW w:w="1710" w:type="dxa"/>
            <w:noWrap/>
            <w:hideMark/>
          </w:tcPr>
          <w:p w:rsidR="0061760F" w:rsidRPr="0061760F" w:rsidRDefault="0061760F">
            <w:pPr>
              <w:rPr>
                <w:b/>
                <w:bCs/>
              </w:rPr>
            </w:pPr>
            <w:r w:rsidRPr="0061760F">
              <w:rPr>
                <w:b/>
                <w:bCs/>
              </w:rPr>
              <w:t> </w:t>
            </w:r>
          </w:p>
        </w:tc>
        <w:tc>
          <w:tcPr>
            <w:tcW w:w="9360" w:type="dxa"/>
            <w:hideMark/>
          </w:tcPr>
          <w:p w:rsidR="0061760F" w:rsidRPr="0061760F" w:rsidRDefault="0061760F" w:rsidP="0061760F">
            <w:pPr>
              <w:rPr>
                <w:b/>
                <w:bCs/>
              </w:rPr>
            </w:pPr>
            <w:r w:rsidRPr="0061760F">
              <w:rPr>
                <w:b/>
                <w:bCs/>
              </w:rPr>
              <w:t>Lunch on Your Own</w:t>
            </w:r>
          </w:p>
        </w:tc>
      </w:tr>
      <w:tr w:rsidR="0061760F" w:rsidRPr="0061760F" w:rsidTr="00871473">
        <w:trPr>
          <w:trHeight w:val="540"/>
        </w:trPr>
        <w:tc>
          <w:tcPr>
            <w:tcW w:w="1710" w:type="dxa"/>
            <w:noWrap/>
            <w:hideMark/>
          </w:tcPr>
          <w:p w:rsidR="0061760F" w:rsidRPr="0061760F" w:rsidRDefault="0061760F">
            <w:pPr>
              <w:rPr>
                <w:b/>
                <w:bCs/>
              </w:rPr>
            </w:pPr>
            <w:r w:rsidRPr="0061760F">
              <w:rPr>
                <w:b/>
                <w:bCs/>
              </w:rPr>
              <w:t xml:space="preserve"> </w:t>
            </w:r>
          </w:p>
        </w:tc>
        <w:tc>
          <w:tcPr>
            <w:tcW w:w="9360" w:type="dxa"/>
            <w:hideMark/>
          </w:tcPr>
          <w:p w:rsidR="0061760F" w:rsidRPr="0061760F" w:rsidRDefault="0061760F" w:rsidP="0061760F">
            <w:pPr>
              <w:rPr>
                <w:b/>
                <w:bCs/>
              </w:rPr>
            </w:pPr>
            <w:r w:rsidRPr="0061760F">
              <w:rPr>
                <w:b/>
                <w:bCs/>
              </w:rPr>
              <w:t>1:45 - 3:15</w:t>
            </w:r>
          </w:p>
        </w:tc>
      </w:tr>
      <w:tr w:rsidR="0061760F" w:rsidRPr="0061760F" w:rsidTr="00871473">
        <w:trPr>
          <w:trHeight w:val="350"/>
        </w:trPr>
        <w:tc>
          <w:tcPr>
            <w:tcW w:w="1710" w:type="dxa"/>
            <w:noWrap/>
            <w:hideMark/>
          </w:tcPr>
          <w:p w:rsidR="0061760F" w:rsidRPr="0061760F" w:rsidRDefault="0061760F" w:rsidP="0061760F">
            <w:pPr>
              <w:rPr>
                <w:b/>
                <w:bCs/>
              </w:rPr>
            </w:pPr>
            <w:r w:rsidRPr="0061760F">
              <w:rPr>
                <w:b/>
                <w:bCs/>
              </w:rPr>
              <w:t>Frisco 3</w:t>
            </w:r>
          </w:p>
        </w:tc>
        <w:tc>
          <w:tcPr>
            <w:tcW w:w="9360" w:type="dxa"/>
            <w:hideMark/>
          </w:tcPr>
          <w:p w:rsidR="0061760F" w:rsidRPr="0061760F" w:rsidRDefault="00871473">
            <w:pPr>
              <w:rPr>
                <w:b/>
                <w:bCs/>
              </w:rPr>
            </w:pPr>
            <w:r>
              <w:rPr>
                <w:b/>
                <w:bCs/>
              </w:rPr>
              <w:t>S</w:t>
            </w:r>
            <w:r w:rsidR="0061760F" w:rsidRPr="0061760F">
              <w:rPr>
                <w:b/>
                <w:bCs/>
              </w:rPr>
              <w:t>tepping into a new World of  Technology for Hearing Loss - Esther Kelly</w:t>
            </w:r>
          </w:p>
        </w:tc>
      </w:tr>
      <w:tr w:rsidR="0061760F" w:rsidRPr="0061760F" w:rsidTr="00871473">
        <w:trPr>
          <w:trHeight w:val="2915"/>
        </w:trPr>
        <w:tc>
          <w:tcPr>
            <w:tcW w:w="1710" w:type="dxa"/>
            <w:noWrap/>
            <w:hideMark/>
          </w:tcPr>
          <w:p w:rsidR="0061760F" w:rsidRPr="0061760F" w:rsidRDefault="0061760F" w:rsidP="0061760F">
            <w:pPr>
              <w:rPr>
                <w:b/>
                <w:bCs/>
              </w:rPr>
            </w:pPr>
          </w:p>
        </w:tc>
        <w:tc>
          <w:tcPr>
            <w:tcW w:w="9360" w:type="dxa"/>
            <w:hideMark/>
          </w:tcPr>
          <w:p w:rsidR="0061760F" w:rsidRPr="0061760F" w:rsidRDefault="0061760F">
            <w:r w:rsidRPr="0061760F">
              <w:t>STEPPING INTO THE WORLD OF TECHNOLOGY FOR HEARING LOSS</w:t>
            </w:r>
            <w:r w:rsidRPr="0061760F">
              <w:br/>
              <w:t>This workshop will have comprehensive information on technology that will help professionals who work with this population and persons with hearing loss of any degree, identify technology that will enhance communication in classroom, employment situations and social settings.  We recognize that hearing aids and cochlear implants are the first step in leading us to better hearing, however</w:t>
            </w:r>
            <w:proofErr w:type="gramStart"/>
            <w:r w:rsidRPr="0061760F">
              <w:t>,  technology</w:t>
            </w:r>
            <w:proofErr w:type="gramEnd"/>
            <w:r w:rsidRPr="0061760F">
              <w:t xml:space="preserve"> is invaluable for successful communication.</w:t>
            </w:r>
            <w:r w:rsidRPr="0061760F">
              <w:br/>
              <w:t>Technology for alerting us to our environment such as the latest flashing and vibrating devices.  New advances in FM systems and Blue Tooth technology for meetings, cell phones, work phones, TV and computer adaptive equipment will be demonstrated.</w:t>
            </w:r>
            <w:r w:rsidRPr="0061760F">
              <w:br/>
              <w:t>Attendees will come away with better ideas of technology for the future.</w:t>
            </w:r>
          </w:p>
        </w:tc>
      </w:tr>
      <w:tr w:rsidR="0061760F" w:rsidRPr="0061760F" w:rsidTr="00871473">
        <w:trPr>
          <w:trHeight w:val="377"/>
        </w:trPr>
        <w:tc>
          <w:tcPr>
            <w:tcW w:w="1710" w:type="dxa"/>
            <w:noWrap/>
            <w:hideMark/>
          </w:tcPr>
          <w:p w:rsidR="0061760F" w:rsidRPr="0061760F" w:rsidRDefault="0061760F">
            <w:pPr>
              <w:rPr>
                <w:b/>
                <w:bCs/>
              </w:rPr>
            </w:pPr>
            <w:r w:rsidRPr="0061760F">
              <w:rPr>
                <w:b/>
                <w:bCs/>
              </w:rPr>
              <w:t xml:space="preserve"> </w:t>
            </w:r>
          </w:p>
        </w:tc>
        <w:tc>
          <w:tcPr>
            <w:tcW w:w="9360" w:type="dxa"/>
            <w:hideMark/>
          </w:tcPr>
          <w:p w:rsidR="0061760F" w:rsidRPr="0061760F" w:rsidRDefault="0061760F" w:rsidP="0061760F">
            <w:pPr>
              <w:rPr>
                <w:b/>
                <w:bCs/>
              </w:rPr>
            </w:pPr>
            <w:r w:rsidRPr="0061760F">
              <w:rPr>
                <w:b/>
                <w:bCs/>
              </w:rPr>
              <w:t>3:30 - 5:00</w:t>
            </w:r>
          </w:p>
        </w:tc>
      </w:tr>
      <w:tr w:rsidR="0061760F" w:rsidRPr="0061760F" w:rsidTr="00871473">
        <w:trPr>
          <w:trHeight w:val="368"/>
        </w:trPr>
        <w:tc>
          <w:tcPr>
            <w:tcW w:w="1710" w:type="dxa"/>
            <w:noWrap/>
            <w:hideMark/>
          </w:tcPr>
          <w:p w:rsidR="0061760F" w:rsidRPr="0061760F" w:rsidRDefault="00871473">
            <w:pPr>
              <w:rPr>
                <w:b/>
                <w:bCs/>
              </w:rPr>
            </w:pPr>
            <w:r>
              <w:rPr>
                <w:b/>
                <w:bCs/>
              </w:rPr>
              <w:t>Frisco 3</w:t>
            </w:r>
          </w:p>
        </w:tc>
        <w:tc>
          <w:tcPr>
            <w:tcW w:w="9360" w:type="dxa"/>
            <w:hideMark/>
          </w:tcPr>
          <w:p w:rsidR="0061760F" w:rsidRPr="0061760F" w:rsidRDefault="00871473">
            <w:pPr>
              <w:rPr>
                <w:b/>
                <w:bCs/>
              </w:rPr>
            </w:pPr>
            <w:r w:rsidRPr="00871473">
              <w:rPr>
                <w:b/>
                <w:bCs/>
              </w:rPr>
              <w:t xml:space="preserve">Hearing Health and Mental Health – A lifelong Pursuit </w:t>
            </w:r>
            <w:r w:rsidR="0061760F" w:rsidRPr="0061760F">
              <w:rPr>
                <w:b/>
                <w:bCs/>
              </w:rPr>
              <w:t>- Keri Reynolds</w:t>
            </w:r>
          </w:p>
        </w:tc>
      </w:tr>
      <w:tr w:rsidR="0061760F" w:rsidRPr="0061760F" w:rsidTr="00871473">
        <w:trPr>
          <w:trHeight w:val="2933"/>
        </w:trPr>
        <w:tc>
          <w:tcPr>
            <w:tcW w:w="1710" w:type="dxa"/>
            <w:noWrap/>
            <w:hideMark/>
          </w:tcPr>
          <w:p w:rsidR="0061760F" w:rsidRPr="0061760F" w:rsidRDefault="0061760F">
            <w:pPr>
              <w:rPr>
                <w:b/>
                <w:bCs/>
              </w:rPr>
            </w:pPr>
            <w:r w:rsidRPr="0061760F">
              <w:rPr>
                <w:b/>
                <w:bCs/>
              </w:rPr>
              <w:t xml:space="preserve"> </w:t>
            </w:r>
          </w:p>
        </w:tc>
        <w:tc>
          <w:tcPr>
            <w:tcW w:w="9360" w:type="dxa"/>
            <w:hideMark/>
          </w:tcPr>
          <w:p w:rsidR="0061760F" w:rsidRPr="0061760F" w:rsidRDefault="00871473">
            <w:r w:rsidRPr="00871473">
              <w:t>In this workshop, recent research of Dr. Frank Lin, Johns Hopkins University, will be reviewed as it relates to the links between hearing loss and dementia. The connection between the two has a great impact to the deaf and hard of hearing community as it relates to employment, ongoing healthcare needs and treatment as well as overall quality of life. Staying abreast of research and treatment is imperative to the ongoing mental and physical health of general populations as well as the deaf and hard of hearing community. In addition to presenting and discussing research, we will explore Internet websites and smart phone apps that can be utilized as rehabilitation tools to practice hearing in order to take a proactive stance and say “NO!” to dementia. This workshop will be interactive and allow for audience participation.</w:t>
            </w:r>
          </w:p>
        </w:tc>
      </w:tr>
      <w:tr w:rsidR="0061760F" w:rsidRPr="0061760F" w:rsidTr="00871473">
        <w:trPr>
          <w:trHeight w:val="440"/>
        </w:trPr>
        <w:tc>
          <w:tcPr>
            <w:tcW w:w="1710" w:type="dxa"/>
            <w:noWrap/>
            <w:hideMark/>
          </w:tcPr>
          <w:p w:rsidR="0061760F" w:rsidRPr="0061760F" w:rsidRDefault="0061760F">
            <w:pPr>
              <w:rPr>
                <w:b/>
                <w:bCs/>
              </w:rPr>
            </w:pPr>
            <w:r w:rsidRPr="0061760F">
              <w:rPr>
                <w:b/>
                <w:bCs/>
              </w:rPr>
              <w:t>Bass/Bush</w:t>
            </w:r>
          </w:p>
        </w:tc>
        <w:tc>
          <w:tcPr>
            <w:tcW w:w="9360" w:type="dxa"/>
            <w:hideMark/>
          </w:tcPr>
          <w:p w:rsidR="0061760F" w:rsidRPr="0061760F" w:rsidRDefault="0061760F">
            <w:pPr>
              <w:rPr>
                <w:b/>
                <w:bCs/>
              </w:rPr>
            </w:pPr>
            <w:r w:rsidRPr="0061760F">
              <w:rPr>
                <w:b/>
                <w:bCs/>
              </w:rPr>
              <w:t>Deaf Self-Advocacy Training [DSAT] Overview - Ann Horn</w:t>
            </w:r>
          </w:p>
        </w:tc>
      </w:tr>
      <w:tr w:rsidR="0061760F" w:rsidRPr="0061760F" w:rsidTr="00871473">
        <w:trPr>
          <w:trHeight w:val="5750"/>
        </w:trPr>
        <w:tc>
          <w:tcPr>
            <w:tcW w:w="1710" w:type="dxa"/>
            <w:noWrap/>
            <w:hideMark/>
          </w:tcPr>
          <w:p w:rsidR="0061760F" w:rsidRPr="0061760F" w:rsidRDefault="0061760F">
            <w:pPr>
              <w:rPr>
                <w:b/>
                <w:bCs/>
              </w:rPr>
            </w:pPr>
            <w:r w:rsidRPr="0061760F">
              <w:rPr>
                <w:b/>
                <w:bCs/>
              </w:rPr>
              <w:t xml:space="preserve"> </w:t>
            </w:r>
          </w:p>
        </w:tc>
        <w:tc>
          <w:tcPr>
            <w:tcW w:w="9360" w:type="dxa"/>
            <w:hideMark/>
          </w:tcPr>
          <w:p w:rsidR="0061760F" w:rsidRPr="0061760F" w:rsidRDefault="0061760F">
            <w:r w:rsidRPr="0061760F">
              <w:t xml:space="preserve">In October 2005, the U.S. Department of Education awarded funding to five educational institutions to establish the National Consortium of Interpreter Education Centers (NCIEC). Today, NCIEC has one national and five regional interpreter education centers. The federal government has charged NCIEC with the task of promoting and providing effective educational opportunities for interpreters, with the goal of significantly increasing the </w:t>
            </w:r>
            <w:proofErr w:type="spellStart"/>
            <w:r w:rsidRPr="0061760F">
              <w:t>num-bers</w:t>
            </w:r>
            <w:proofErr w:type="spellEnd"/>
            <w:r w:rsidRPr="0061760F">
              <w:t xml:space="preserve"> of qualified and credentialed interpreters in the field. NCIEC believes this goal is best achieved by working in partnership with others, by forging </w:t>
            </w:r>
            <w:proofErr w:type="spellStart"/>
            <w:r w:rsidRPr="0061760F">
              <w:t>collabor-ative</w:t>
            </w:r>
            <w:proofErr w:type="spellEnd"/>
            <w:r w:rsidRPr="0061760F">
              <w:t xml:space="preserve"> links, facilitating practice and product-sharing among interpreter education service providers, practitioners, educators and consumers nationwide. The Deaf Self-Advocacy Training (DSAT) project adheres to the philosophy of “…of, by and for the Deaf” 1 in all aspects of its programming. It relies on consumer involvement, with a specific focus on consumers of vocational rehabilitation </w:t>
            </w:r>
            <w:proofErr w:type="spellStart"/>
            <w:r w:rsidRPr="0061760F">
              <w:t>services.The</w:t>
            </w:r>
            <w:proofErr w:type="spellEnd"/>
            <w:r w:rsidRPr="0061760F">
              <w:t xml:space="preserve"> Deaf Self-Advocacy Training curriculum is intended solely for individuals who are Deaf. It has been taught with great success to a wide variety of Deaf community members, including but not limited to</w:t>
            </w:r>
            <w:proofErr w:type="gramStart"/>
            <w:r w:rsidRPr="0061760F">
              <w:t>:</w:t>
            </w:r>
            <w:proofErr w:type="gramEnd"/>
            <w:r w:rsidRPr="0061760F">
              <w:br/>
              <w:t>High school transition students.</w:t>
            </w:r>
            <w:r w:rsidRPr="0061760F">
              <w:br/>
              <w:t>College students.</w:t>
            </w:r>
            <w:r w:rsidRPr="0061760F">
              <w:br/>
              <w:t>Vocational rehabilitation consumers and personnel.</w:t>
            </w:r>
            <w:r w:rsidRPr="0061760F">
              <w:br/>
              <w:t>Job and career seekers.</w:t>
            </w:r>
            <w:r w:rsidRPr="0061760F">
              <w:br/>
              <w:t>Community advocates and deafness-related personnel.</w:t>
            </w:r>
            <w:r w:rsidRPr="0061760F">
              <w:br/>
              <w:t>Other individuals wanting to learn advocacy strategies in a variety of settings.</w:t>
            </w:r>
          </w:p>
        </w:tc>
      </w:tr>
    </w:tbl>
    <w:p w:rsidR="00B21820" w:rsidRDefault="00B21820" w:rsidP="0061760F"/>
    <w:sectPr w:rsidR="00B21820" w:rsidSect="0087147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6B8"/>
    <w:rsid w:val="003873E2"/>
    <w:rsid w:val="0061760F"/>
    <w:rsid w:val="007513F1"/>
    <w:rsid w:val="007F2C86"/>
    <w:rsid w:val="00871473"/>
    <w:rsid w:val="009716B8"/>
    <w:rsid w:val="00A354A1"/>
    <w:rsid w:val="00A36517"/>
    <w:rsid w:val="00B21820"/>
    <w:rsid w:val="00B90EA1"/>
    <w:rsid w:val="00E1543B"/>
    <w:rsid w:val="00E56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14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2C86"/>
    <w:pPr>
      <w:autoSpaceDE w:val="0"/>
      <w:autoSpaceDN w:val="0"/>
      <w:adjustRightInd w:val="0"/>
      <w:spacing w:after="0" w:line="240" w:lineRule="auto"/>
    </w:pPr>
    <w:rPr>
      <w:rFonts w:ascii="Baskerville Old Face" w:hAnsi="Baskerville Old Face" w:cs="Baskerville Old Face"/>
      <w:color w:val="000000"/>
      <w:sz w:val="24"/>
      <w:szCs w:val="24"/>
    </w:rPr>
  </w:style>
  <w:style w:type="paragraph" w:styleId="BalloonText">
    <w:name w:val="Balloon Text"/>
    <w:basedOn w:val="Normal"/>
    <w:link w:val="BalloonTextChar"/>
    <w:uiPriority w:val="99"/>
    <w:semiHidden/>
    <w:unhideWhenUsed/>
    <w:rsid w:val="00751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3F1"/>
    <w:rPr>
      <w:rFonts w:ascii="Tahoma" w:hAnsi="Tahoma" w:cs="Tahoma"/>
      <w:sz w:val="16"/>
      <w:szCs w:val="16"/>
    </w:rPr>
  </w:style>
  <w:style w:type="table" w:styleId="TableGrid">
    <w:name w:val="Table Grid"/>
    <w:basedOn w:val="TableNormal"/>
    <w:uiPriority w:val="59"/>
    <w:rsid w:val="00617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7147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7147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14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2C86"/>
    <w:pPr>
      <w:autoSpaceDE w:val="0"/>
      <w:autoSpaceDN w:val="0"/>
      <w:adjustRightInd w:val="0"/>
      <w:spacing w:after="0" w:line="240" w:lineRule="auto"/>
    </w:pPr>
    <w:rPr>
      <w:rFonts w:ascii="Baskerville Old Face" w:hAnsi="Baskerville Old Face" w:cs="Baskerville Old Face"/>
      <w:color w:val="000000"/>
      <w:sz w:val="24"/>
      <w:szCs w:val="24"/>
    </w:rPr>
  </w:style>
  <w:style w:type="paragraph" w:styleId="BalloonText">
    <w:name w:val="Balloon Text"/>
    <w:basedOn w:val="Normal"/>
    <w:link w:val="BalloonTextChar"/>
    <w:uiPriority w:val="99"/>
    <w:semiHidden/>
    <w:unhideWhenUsed/>
    <w:rsid w:val="007513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13F1"/>
    <w:rPr>
      <w:rFonts w:ascii="Tahoma" w:hAnsi="Tahoma" w:cs="Tahoma"/>
      <w:sz w:val="16"/>
      <w:szCs w:val="16"/>
    </w:rPr>
  </w:style>
  <w:style w:type="table" w:styleId="TableGrid">
    <w:name w:val="Table Grid"/>
    <w:basedOn w:val="TableNormal"/>
    <w:uiPriority w:val="59"/>
    <w:rsid w:val="00617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7147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714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470854">
      <w:bodyDiv w:val="1"/>
      <w:marLeft w:val="0"/>
      <w:marRight w:val="0"/>
      <w:marTop w:val="0"/>
      <w:marBottom w:val="0"/>
      <w:divBdr>
        <w:top w:val="none" w:sz="0" w:space="0" w:color="auto"/>
        <w:left w:val="none" w:sz="0" w:space="0" w:color="auto"/>
        <w:bottom w:val="none" w:sz="0" w:space="0" w:color="auto"/>
        <w:right w:val="none" w:sz="0" w:space="0" w:color="auto"/>
      </w:divBdr>
      <w:divsChild>
        <w:div w:id="1064638960">
          <w:marLeft w:val="0"/>
          <w:marRight w:val="0"/>
          <w:marTop w:val="0"/>
          <w:marBottom w:val="0"/>
          <w:divBdr>
            <w:top w:val="none" w:sz="0" w:space="0" w:color="auto"/>
            <w:left w:val="none" w:sz="0" w:space="0" w:color="auto"/>
            <w:bottom w:val="none" w:sz="0" w:space="0" w:color="auto"/>
            <w:right w:val="none" w:sz="0" w:space="0" w:color="auto"/>
          </w:divBdr>
          <w:divsChild>
            <w:div w:id="1572692927">
              <w:marLeft w:val="0"/>
              <w:marRight w:val="0"/>
              <w:marTop w:val="0"/>
              <w:marBottom w:val="0"/>
              <w:divBdr>
                <w:top w:val="none" w:sz="0" w:space="0" w:color="auto"/>
                <w:left w:val="none" w:sz="0" w:space="0" w:color="auto"/>
                <w:bottom w:val="none" w:sz="0" w:space="0" w:color="auto"/>
                <w:right w:val="none" w:sz="0" w:space="0" w:color="auto"/>
              </w:divBdr>
            </w:div>
            <w:div w:id="96223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4245">
      <w:bodyDiv w:val="1"/>
      <w:marLeft w:val="0"/>
      <w:marRight w:val="0"/>
      <w:marTop w:val="0"/>
      <w:marBottom w:val="0"/>
      <w:divBdr>
        <w:top w:val="none" w:sz="0" w:space="0" w:color="auto"/>
        <w:left w:val="none" w:sz="0" w:space="0" w:color="auto"/>
        <w:bottom w:val="none" w:sz="0" w:space="0" w:color="auto"/>
        <w:right w:val="none" w:sz="0" w:space="0" w:color="auto"/>
      </w:divBdr>
    </w:div>
    <w:div w:id="146187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tranweb.org/event/TRAN19"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Texas</Company>
  <LinksUpToDate>false</LinksUpToDate>
  <CharactersWithSpaces>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Kelly</cp:lastModifiedBy>
  <cp:revision>6</cp:revision>
  <dcterms:created xsi:type="dcterms:W3CDTF">2014-09-02T20:42:00Z</dcterms:created>
  <dcterms:modified xsi:type="dcterms:W3CDTF">2014-09-08T19:21:00Z</dcterms:modified>
</cp:coreProperties>
</file>