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27" w:rsidRDefault="00B81327" w:rsidP="00B81327">
      <w:r w:rsidRPr="00A174AD">
        <w:t>Deafblind Program Specialist</w:t>
      </w:r>
      <w:r>
        <w:t xml:space="preserve"> (Austin)</w:t>
      </w:r>
    </w:p>
    <w:p w:rsidR="00B81327" w:rsidRDefault="00B81327" w:rsidP="00A174AD"/>
    <w:p w:rsidR="00A174AD" w:rsidRDefault="00A174AD" w:rsidP="00A174AD">
      <w:hyperlink r:id="rId5" w:history="1">
        <w:r w:rsidRPr="005349C5">
          <w:rPr>
            <w:rStyle w:val="Hyperlink"/>
          </w:rPr>
          <w:t>https://wit.twc.state.tx.us/WORKINTEXAS/wtx?u=1517321323154&amp;pageid=EM_JP_JOB_DETAILS&amp;id=7249091</w:t>
        </w:r>
      </w:hyperlink>
    </w:p>
    <w:p w:rsidR="00A174AD" w:rsidRDefault="00A174AD" w:rsidP="00A174AD">
      <w:bookmarkStart w:id="0" w:name="_GoBack"/>
      <w:bookmarkEnd w:id="0"/>
    </w:p>
    <w:p w:rsidR="00A174AD" w:rsidRDefault="00A174AD" w:rsidP="00A174AD">
      <w:r>
        <w:t>General Information</w:t>
      </w:r>
    </w:p>
    <w:p w:rsidR="00A174AD" w:rsidRDefault="00A174AD" w:rsidP="00A174AD"/>
    <w:p w:rsidR="00A174AD" w:rsidRDefault="00A174AD" w:rsidP="00A174AD">
      <w:r>
        <w:t>Job Posting ID 7249091 Creation Date Dec 21, 2017</w:t>
      </w:r>
    </w:p>
    <w:p w:rsidR="00A174AD" w:rsidRDefault="00A174AD" w:rsidP="00A174AD"/>
    <w:p w:rsidR="00A174AD" w:rsidRDefault="00A174AD" w:rsidP="00A174AD">
      <w:r>
        <w:t>Employer Posting No 809933AH Closing Date Open Until Filled</w:t>
      </w:r>
    </w:p>
    <w:p w:rsidR="00A174AD" w:rsidRDefault="00A174AD" w:rsidP="00A174AD"/>
    <w:p w:rsidR="00A174AD" w:rsidRDefault="00A174AD" w:rsidP="00A174AD">
      <w:r>
        <w:t>Job Site Address AUSTIN, Texas 78701 Employer Type State Government</w:t>
      </w:r>
    </w:p>
    <w:p w:rsidR="00A174AD" w:rsidRDefault="00A174AD" w:rsidP="00A174AD"/>
    <w:p w:rsidR="00A174AD" w:rsidRDefault="00A174AD" w:rsidP="00A174AD">
      <w:r>
        <w:t>Openings 1</w:t>
      </w:r>
    </w:p>
    <w:p w:rsidR="00A174AD" w:rsidRDefault="00A174AD" w:rsidP="00A174AD"/>
    <w:p w:rsidR="00A174AD" w:rsidRDefault="00A174AD" w:rsidP="00A174AD">
      <w:r>
        <w:t>Job Description</w:t>
      </w:r>
    </w:p>
    <w:p w:rsidR="00A174AD" w:rsidRDefault="00A174AD" w:rsidP="00A174AD">
      <w:r>
        <w:t xml:space="preserve">The mission of the Texas Workforce Commission (TWC) is to promote and support a workforce system that creates value and offers employers, individuals and communities the opportunity to achieve and sustain economic prosperity. To support our mission, we are seeking to fill a Deafblind Program Specialist position in the Blind Services Field Support Department which </w:t>
      </w:r>
      <w:proofErr w:type="gramStart"/>
      <w:r>
        <w:t>is located in</w:t>
      </w:r>
      <w:proofErr w:type="gramEnd"/>
      <w:r>
        <w:t xml:space="preserve"> at 1117 Trinity Street, Austin, TX.</w:t>
      </w:r>
    </w:p>
    <w:p w:rsidR="00A174AD" w:rsidRDefault="00A174AD" w:rsidP="00A174AD"/>
    <w:p w:rsidR="00A174AD" w:rsidRDefault="00A174AD" w:rsidP="00A174AD">
      <w:r>
        <w:t>Under direct supervision of Deafblind Field Support Manager, provides moderately complex consultative and technical assistance to persons who are deafblind within assigned geographic areas to achieve their educational, vocational and independent living goals.</w:t>
      </w:r>
    </w:p>
    <w:p w:rsidR="00A174AD" w:rsidRDefault="00A174AD" w:rsidP="00A174AD"/>
    <w:p w:rsidR="00A174AD" w:rsidRDefault="00A174AD" w:rsidP="00A174AD">
      <w:r>
        <w:t>This position involves travel up to 75 % of the time.</w:t>
      </w:r>
    </w:p>
    <w:p w:rsidR="00A174AD" w:rsidRDefault="00A174AD" w:rsidP="00A174AD"/>
    <w:p w:rsidR="00A174AD" w:rsidRDefault="00A174AD" w:rsidP="00A174AD">
      <w:r>
        <w:t>GENERAL DUTIES:</w:t>
      </w:r>
    </w:p>
    <w:p w:rsidR="00A174AD" w:rsidRDefault="00A174AD" w:rsidP="00A174AD">
      <w:r>
        <w:t>- Provides assistance to caseload-carrying staff and other related service providers to address the impact of the customer's dual sensory loss on all aspects of their rehabilitation program.</w:t>
      </w:r>
    </w:p>
    <w:p w:rsidR="00A174AD" w:rsidRDefault="00A174AD" w:rsidP="00A174AD">
      <w:r>
        <w:t>- Consults with staff and other service providers, and interacts with employers to identify new employment opportunities as well as maintain employment.</w:t>
      </w:r>
    </w:p>
    <w:p w:rsidR="00A174AD" w:rsidRDefault="00A174AD" w:rsidP="00A174AD">
      <w:r>
        <w:t>- Provides assistance thorough consultation and facilitating customer's development in the areas of adjustment to blindness, travel skills, skills of daily living, communication skills, support systems, vocational training, and securing/maintaining employment commensurate with their skills, abilities, and interests.</w:t>
      </w:r>
    </w:p>
    <w:p w:rsidR="00A174AD" w:rsidRDefault="00A174AD" w:rsidP="00A174AD">
      <w:r>
        <w:t>- Employees in this class develop ongoing relationships within the business and service communities and serve as point of contact for other entities that provide services to target population.</w:t>
      </w:r>
    </w:p>
    <w:p w:rsidR="00A174AD" w:rsidRDefault="00A174AD" w:rsidP="00A174AD">
      <w:r>
        <w:t>- Identifies regional and systemic service needs, consulting with supervisor to design and recommend procedural/policy changes.</w:t>
      </w:r>
    </w:p>
    <w:p w:rsidR="00A174AD" w:rsidRDefault="00A174AD" w:rsidP="00A174AD">
      <w:r>
        <w:lastRenderedPageBreak/>
        <w:t>- Work at this level is performed under general supervision with limited latitude for the use of initiative and independent judgment.</w:t>
      </w:r>
    </w:p>
    <w:p w:rsidR="00A174AD" w:rsidRDefault="00A174AD" w:rsidP="00A174AD">
      <w:r>
        <w:t>- Performs related work, as directed.</w:t>
      </w:r>
    </w:p>
    <w:p w:rsidR="00A174AD" w:rsidRDefault="00A174AD" w:rsidP="00A174AD"/>
    <w:p w:rsidR="00A174AD" w:rsidRDefault="00A174AD" w:rsidP="00A174AD">
      <w:r>
        <w:t>PREFERRED QUALIFIACTIONS:</w:t>
      </w:r>
    </w:p>
    <w:p w:rsidR="00A174AD" w:rsidRDefault="00A174AD" w:rsidP="00A174AD">
      <w:r>
        <w:t>- Experience in American Sign Language, augmentative communication, manual and other communication systems.</w:t>
      </w:r>
    </w:p>
    <w:p w:rsidR="00A174AD" w:rsidRDefault="00A174AD" w:rsidP="00A174AD">
      <w:r>
        <w:t>- Experience in and knowledge of the adaptive equipment and devices available to assist/benefit persons who are deafblind, including those with multiple disabilities.</w:t>
      </w:r>
    </w:p>
    <w:p w:rsidR="00A174AD" w:rsidRDefault="00A174AD" w:rsidP="00A174AD">
      <w:r>
        <w:t>- Experience in and considerable knowledge of methods and techniques used in counseling vocationally disabled persons in disability and vocational adjustment.</w:t>
      </w:r>
    </w:p>
    <w:p w:rsidR="00A174AD" w:rsidRDefault="00A174AD" w:rsidP="00A174AD">
      <w:r>
        <w:t>- Experience in and considerable knowledge of agencies, individuals, and facilities serving people who are deafblind or have other disabilities.</w:t>
      </w:r>
    </w:p>
    <w:p w:rsidR="00A174AD" w:rsidRDefault="00A174AD" w:rsidP="00A174AD">
      <w:r>
        <w:t>- Experience in and considerable knowledge of the culture and adaptive needs of people who are deafblind.</w:t>
      </w:r>
    </w:p>
    <w:p w:rsidR="00A174AD" w:rsidRDefault="00A174AD" w:rsidP="00A174AD"/>
    <w:p w:rsidR="00A174AD" w:rsidRDefault="00A174AD" w:rsidP="00A174AD">
      <w:r>
        <w:t>MINIMUM QUALIFICATIONS:</w:t>
      </w:r>
    </w:p>
    <w:p w:rsidR="00A174AD" w:rsidRDefault="00A174AD" w:rsidP="00A174AD">
      <w:r>
        <w:t>Graduation from an accredited four-year college or university plus two years and six months of full-time experience in the development, implementation, or interpretation of policies and procedures in a public or private agency. Twelve semester hours of graduate study from an accredited college or university may be substituted for each year of the required qualifying experience. A doctorate degree from an accredited college or university will satisfy the minimum qualifications. One additional year of full-time qualifying experience may be substituted for each year (30 semester hours) of the required education.</w:t>
      </w:r>
    </w:p>
    <w:p w:rsidR="00A174AD" w:rsidRDefault="00A174AD" w:rsidP="00A174AD"/>
    <w:p w:rsidR="00A174AD" w:rsidRDefault="00A174AD" w:rsidP="00A174AD">
      <w:r>
        <w:t>Please fill out the application form completely including your experience, education, special training, skills and qualifications relevant to the position you are applying for.</w:t>
      </w:r>
    </w:p>
    <w:p w:rsidR="00A174AD" w:rsidRDefault="00A174AD" w:rsidP="00A174AD"/>
    <w:p w:rsidR="00A174AD" w:rsidRDefault="00A174AD" w:rsidP="00A174AD">
      <w:r>
        <w:t>The salary for this position is $3,293.41-$5,370.75 per month, depending on qualifications. TWC offers a competitive salary with the State of Texas benefits package that includes health insurance, a retirement plan, and a variety of leave types. Learn about TWC jobs and benefits at www.texasworkforce.org/twcjobs.</w:t>
      </w:r>
    </w:p>
    <w:p w:rsidR="00A174AD" w:rsidRDefault="00A174AD" w:rsidP="00A174AD"/>
    <w:p w:rsidR="00A174AD" w:rsidRDefault="00A174AD" w:rsidP="00A174AD">
      <w:r>
        <w:t>VETERANS: Use your military skills to qualify for this position or other jobs! Go to www.texasskillstowork.com to translate your military work experience and training courses into civilian job terms, qualifications and skill sets. Also, you can compare this position to military occupations (MOS) at the Texas State Auditor's Office by pasting this link into your browser: http://www.hr.sao.texas.gov/Compensation/MilitaryCrosswalk/MOSC_ProgramManagement.pdf</w:t>
      </w:r>
    </w:p>
    <w:p w:rsidR="00A174AD" w:rsidRDefault="00A174AD" w:rsidP="00A174AD"/>
    <w:p w:rsidR="00A174AD" w:rsidRDefault="00A174AD" w:rsidP="00A174AD">
      <w:r>
        <w:t>HOW TO APPLY:</w:t>
      </w:r>
    </w:p>
    <w:p w:rsidR="00A174AD" w:rsidRDefault="00A174AD" w:rsidP="00A174AD">
      <w:r>
        <w:t xml:space="preserve">To be considered, please completed a State of Texas Application for Employment and submit via ONE of following: apply online at www.workintexas.com (Preferred method); or fax a completed State of Texas Application to 512-463-2832; or mail a completed </w:t>
      </w:r>
      <w:r>
        <w:lastRenderedPageBreak/>
        <w:t>application to Texas Workforce Commission, Human Resources Department, Room 230, 101 East 15th Street, Austin, Texas 78778-0000.</w:t>
      </w:r>
    </w:p>
    <w:p w:rsidR="00A174AD" w:rsidRDefault="00A174AD" w:rsidP="00A174AD"/>
    <w:p w:rsidR="00A174AD" w:rsidRDefault="00A174AD" w:rsidP="00A174AD">
      <w:r>
        <w:t>Supervisory Experience Required No</w:t>
      </w:r>
    </w:p>
    <w:p w:rsidR="00A174AD" w:rsidRDefault="00A174AD" w:rsidP="00A174AD"/>
    <w:p w:rsidR="00A174AD" w:rsidRDefault="00A174AD" w:rsidP="00A174AD">
      <w:r>
        <w:t>Additional Pay Details The salary for this position is $3,293.41-$5,370.75 per month, depending on qualifications.</w:t>
      </w:r>
    </w:p>
    <w:p w:rsidR="00A174AD" w:rsidRDefault="00A174AD" w:rsidP="00A174AD"/>
    <w:p w:rsidR="00A174AD" w:rsidRDefault="00A174AD" w:rsidP="00A174AD">
      <w:r>
        <w:t>Shift Days (First) Duration Regular</w:t>
      </w:r>
    </w:p>
    <w:p w:rsidR="00A174AD" w:rsidRDefault="00A174AD" w:rsidP="00A174AD"/>
    <w:p w:rsidR="00A174AD" w:rsidRDefault="00A174AD" w:rsidP="00A174AD">
      <w:r>
        <w:t>Workweek Full Time</w:t>
      </w:r>
    </w:p>
    <w:p w:rsidR="00A174AD" w:rsidRDefault="00A174AD" w:rsidP="00A174AD">
      <w:r>
        <w:t xml:space="preserve">Benefits </w:t>
      </w:r>
    </w:p>
    <w:p w:rsidR="00A174AD" w:rsidRDefault="00A174AD" w:rsidP="00A174AD">
      <w:pPr>
        <w:pStyle w:val="ListParagraph"/>
        <w:numPr>
          <w:ilvl w:val="0"/>
          <w:numId w:val="2"/>
        </w:numPr>
      </w:pPr>
      <w:r>
        <w:t>Medical/Health Insurance Plan</w:t>
      </w:r>
    </w:p>
    <w:p w:rsidR="00A174AD" w:rsidRDefault="00A174AD" w:rsidP="00A174AD">
      <w:pPr>
        <w:pStyle w:val="ListParagraph"/>
        <w:numPr>
          <w:ilvl w:val="0"/>
          <w:numId w:val="2"/>
        </w:numPr>
      </w:pPr>
      <w:r>
        <w:t>Other Insurance Plans</w:t>
      </w:r>
    </w:p>
    <w:p w:rsidR="00A174AD" w:rsidRDefault="00A174AD" w:rsidP="00A174AD">
      <w:pPr>
        <w:pStyle w:val="ListParagraph"/>
        <w:numPr>
          <w:ilvl w:val="0"/>
          <w:numId w:val="2"/>
        </w:numPr>
      </w:pPr>
      <w:r>
        <w:t>Other Paid Leave</w:t>
      </w:r>
    </w:p>
    <w:p w:rsidR="00A174AD" w:rsidRDefault="00A174AD" w:rsidP="00A174AD">
      <w:pPr>
        <w:pStyle w:val="ListParagraph"/>
        <w:numPr>
          <w:ilvl w:val="0"/>
          <w:numId w:val="2"/>
        </w:numPr>
      </w:pPr>
      <w:r>
        <w:t>Professional Development/Tuition Reimbursement</w:t>
      </w:r>
    </w:p>
    <w:p w:rsidR="00A174AD" w:rsidRDefault="00A174AD" w:rsidP="00A174AD">
      <w:pPr>
        <w:pStyle w:val="ListParagraph"/>
        <w:numPr>
          <w:ilvl w:val="0"/>
          <w:numId w:val="2"/>
        </w:numPr>
      </w:pPr>
      <w:r>
        <w:t>Pre-Tax Programs for Child and Health Care</w:t>
      </w:r>
    </w:p>
    <w:p w:rsidR="00A174AD" w:rsidRDefault="00A174AD" w:rsidP="00A174AD">
      <w:pPr>
        <w:pStyle w:val="ListParagraph"/>
        <w:numPr>
          <w:ilvl w:val="0"/>
          <w:numId w:val="2"/>
        </w:numPr>
      </w:pPr>
      <w:r>
        <w:t>Retirement Plan</w:t>
      </w:r>
    </w:p>
    <w:p w:rsidR="00A174AD" w:rsidRDefault="00A174AD" w:rsidP="00A174AD">
      <w:pPr>
        <w:pStyle w:val="ListParagraph"/>
        <w:numPr>
          <w:ilvl w:val="0"/>
          <w:numId w:val="2"/>
        </w:numPr>
      </w:pPr>
      <w:r>
        <w:t>Sick Leave</w:t>
      </w:r>
    </w:p>
    <w:p w:rsidR="00A174AD" w:rsidRDefault="00A174AD" w:rsidP="00A174AD">
      <w:pPr>
        <w:pStyle w:val="ListParagraph"/>
        <w:numPr>
          <w:ilvl w:val="0"/>
          <w:numId w:val="2"/>
        </w:numPr>
      </w:pPr>
      <w:r>
        <w:t>Vacation Leave</w:t>
      </w:r>
    </w:p>
    <w:sectPr w:rsidR="00A1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021"/>
    <w:multiLevelType w:val="multilevel"/>
    <w:tmpl w:val="9CBC5E0E"/>
    <w:styleLink w:val="ListedHeading"/>
    <w:lvl w:ilvl="0">
      <w:start w:val="1"/>
      <w:numFmt w:val="upperLetter"/>
      <w:lvlText w:val="%1."/>
      <w:lvlJc w:val="left"/>
      <w:pPr>
        <w:ind w:left="0" w:firstLine="0"/>
      </w:pPr>
      <w:rPr>
        <w:rFonts w:ascii="Arial" w:hAnsi="Arial" w:hint="default"/>
        <w:b/>
        <w:color w:val="000000" w:themeColor="text1"/>
        <w:sz w:val="24"/>
      </w:rPr>
    </w:lvl>
    <w:lvl w:ilvl="1">
      <w:start w:val="1"/>
      <w:numFmt w:val="decimal"/>
      <w:lvlText w:val="%2."/>
      <w:lvlJc w:val="left"/>
      <w:pPr>
        <w:ind w:left="360" w:firstLine="0"/>
      </w:pPr>
      <w:rPr>
        <w:rFonts w:ascii="Arial" w:hAnsi="Arial" w:hint="default"/>
        <w:b/>
        <w:i w:val="0"/>
        <w:color w:val="000000" w:themeColor="text1"/>
        <w:sz w:val="24"/>
      </w:rPr>
    </w:lvl>
    <w:lvl w:ilvl="2">
      <w:start w:val="1"/>
      <w:numFmt w:val="lowerLetter"/>
      <w:lvlText w:val="%3."/>
      <w:lvlJc w:val="left"/>
      <w:pPr>
        <w:ind w:left="720" w:firstLine="0"/>
      </w:pPr>
      <w:rPr>
        <w:rFonts w:ascii="Arial" w:hAnsi="Arial" w:hint="default"/>
        <w:b w:val="0"/>
        <w:i w:val="0"/>
        <w:color w:val="000000" w:themeColor="text1"/>
        <w:sz w:val="24"/>
      </w:rPr>
    </w:lvl>
    <w:lvl w:ilvl="3">
      <w:start w:val="1"/>
      <w:numFmt w:val="lowerRoman"/>
      <w:lvlText w:val="(%4)"/>
      <w:lvlJc w:val="left"/>
      <w:pPr>
        <w:ind w:left="1080" w:firstLine="0"/>
      </w:pPr>
      <w:rPr>
        <w:rFonts w:ascii="Arial" w:hAnsi="Arial" w:hint="default"/>
        <w:b w:val="0"/>
        <w:i w:val="0"/>
        <w:color w:val="000000" w:themeColor="text1"/>
        <w:sz w:val="24"/>
      </w:rPr>
    </w:lvl>
    <w:lvl w:ilvl="4">
      <w:start w:val="1"/>
      <w:numFmt w:val="lowerLetter"/>
      <w:lvlText w:val="(%5)"/>
      <w:lvlJc w:val="left"/>
      <w:pPr>
        <w:ind w:left="1440" w:firstLine="0"/>
      </w:pPr>
      <w:rPr>
        <w:rFonts w:ascii="Arial" w:hAnsi="Arial" w:hint="default"/>
        <w:b w:val="0"/>
        <w:i w:val="0"/>
        <w:color w:val="000000" w:themeColor="text1"/>
        <w:sz w:val="24"/>
      </w:rPr>
    </w:lvl>
    <w:lvl w:ilvl="5">
      <w:start w:val="1"/>
      <w:numFmt w:val="decimal"/>
      <w:lvlText w:val="(%6)"/>
      <w:lvlJc w:val="left"/>
      <w:pPr>
        <w:ind w:left="1800" w:firstLine="0"/>
      </w:pPr>
      <w:rPr>
        <w:rFonts w:ascii="Arial" w:hAnsi="Arial" w:hint="default"/>
        <w:b w:val="0"/>
        <w:i w:val="0"/>
        <w:color w:val="000000" w:themeColor="text1"/>
        <w:sz w:val="24"/>
      </w:rPr>
    </w:lvl>
    <w:lvl w:ilvl="6">
      <w:start w:val="1"/>
      <w:numFmt w:val="upperLetter"/>
      <w:lvlText w:val="%7."/>
      <w:lvlJc w:val="left"/>
      <w:pPr>
        <w:ind w:left="2160" w:firstLine="0"/>
      </w:pPr>
      <w:rPr>
        <w:rFonts w:ascii="Arial" w:hAnsi="Arial" w:hint="default"/>
        <w:b w:val="0"/>
        <w:i w:val="0"/>
        <w:color w:val="000000" w:themeColor="text1"/>
        <w:sz w:val="24"/>
      </w:rPr>
    </w:lvl>
    <w:lvl w:ilvl="7">
      <w:start w:val="1"/>
      <w:numFmt w:val="lowerRoman"/>
      <w:lvlText w:val="%8."/>
      <w:lvlJc w:val="left"/>
      <w:pPr>
        <w:ind w:left="2520" w:firstLine="0"/>
      </w:pPr>
      <w:rPr>
        <w:rFonts w:ascii="Arial" w:hAnsi="Arial" w:hint="default"/>
        <w:b w:val="0"/>
        <w:i w:val="0"/>
        <w:color w:val="000000" w:themeColor="text1"/>
        <w:sz w:val="24"/>
      </w:rPr>
    </w:lvl>
    <w:lvl w:ilvl="8">
      <w:start w:val="1"/>
      <w:numFmt w:val="lowerLetter"/>
      <w:lvlText w:val="%9."/>
      <w:lvlJc w:val="left"/>
      <w:pPr>
        <w:ind w:left="2880" w:firstLine="0"/>
      </w:pPr>
      <w:rPr>
        <w:rFonts w:ascii="Arial" w:hAnsi="Arial" w:hint="default"/>
        <w:b w:val="0"/>
        <w:i w:val="0"/>
        <w:color w:val="000000" w:themeColor="text1"/>
        <w:sz w:val="24"/>
      </w:rPr>
    </w:lvl>
  </w:abstractNum>
  <w:abstractNum w:abstractNumId="1" w15:restartNumberingAfterBreak="0">
    <w:nsid w:val="5F504FF4"/>
    <w:multiLevelType w:val="hybridMultilevel"/>
    <w:tmpl w:val="1016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AD"/>
    <w:rsid w:val="00526010"/>
    <w:rsid w:val="00A174AD"/>
    <w:rsid w:val="00B81327"/>
    <w:rsid w:val="00C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F8B5"/>
  <w15:chartTrackingRefBased/>
  <w15:docId w15:val="{E73B30BF-1E06-4D2D-A0B5-0CE47456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dHeading">
    <w:name w:val="Listed Heading"/>
    <w:basedOn w:val="NoList"/>
    <w:uiPriority w:val="99"/>
    <w:rsid w:val="00526010"/>
    <w:pPr>
      <w:numPr>
        <w:numId w:val="1"/>
      </w:numPr>
    </w:pPr>
  </w:style>
  <w:style w:type="paragraph" w:styleId="ListParagraph">
    <w:name w:val="List Paragraph"/>
    <w:basedOn w:val="Normal"/>
    <w:uiPriority w:val="34"/>
    <w:qFormat/>
    <w:rsid w:val="00A174AD"/>
    <w:pPr>
      <w:ind w:left="720"/>
      <w:contextualSpacing/>
    </w:pPr>
  </w:style>
  <w:style w:type="character" w:styleId="Hyperlink">
    <w:name w:val="Hyperlink"/>
    <w:basedOn w:val="DefaultParagraphFont"/>
    <w:uiPriority w:val="99"/>
    <w:unhideWhenUsed/>
    <w:rsid w:val="00A174AD"/>
    <w:rPr>
      <w:color w:val="0000FF" w:themeColor="hyperlink"/>
      <w:u w:val="single"/>
    </w:rPr>
  </w:style>
  <w:style w:type="character" w:styleId="FollowedHyperlink">
    <w:name w:val="FollowedHyperlink"/>
    <w:basedOn w:val="DefaultParagraphFont"/>
    <w:uiPriority w:val="99"/>
    <w:semiHidden/>
    <w:unhideWhenUsed/>
    <w:rsid w:val="00A17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8964">
      <w:bodyDiv w:val="1"/>
      <w:marLeft w:val="0"/>
      <w:marRight w:val="0"/>
      <w:marTop w:val="0"/>
      <w:marBottom w:val="0"/>
      <w:divBdr>
        <w:top w:val="none" w:sz="0" w:space="0" w:color="auto"/>
        <w:left w:val="none" w:sz="0" w:space="0" w:color="auto"/>
        <w:bottom w:val="none" w:sz="0" w:space="0" w:color="auto"/>
        <w:right w:val="none" w:sz="0" w:space="0" w:color="auto"/>
      </w:divBdr>
    </w:div>
    <w:div w:id="1466117568">
      <w:bodyDiv w:val="1"/>
      <w:marLeft w:val="0"/>
      <w:marRight w:val="0"/>
      <w:marTop w:val="0"/>
      <w:marBottom w:val="0"/>
      <w:divBdr>
        <w:top w:val="none" w:sz="0" w:space="0" w:color="auto"/>
        <w:left w:val="none" w:sz="0" w:space="0" w:color="auto"/>
        <w:bottom w:val="none" w:sz="0" w:space="0" w:color="auto"/>
        <w:right w:val="none" w:sz="0" w:space="0" w:color="auto"/>
      </w:divBdr>
      <w:divsChild>
        <w:div w:id="1411386685">
          <w:marLeft w:val="0"/>
          <w:marRight w:val="0"/>
          <w:marTop w:val="240"/>
          <w:marBottom w:val="240"/>
          <w:divBdr>
            <w:top w:val="single" w:sz="6" w:space="0" w:color="A6C9E2"/>
            <w:left w:val="single" w:sz="6" w:space="0" w:color="A6C9E2"/>
            <w:bottom w:val="single" w:sz="6" w:space="0" w:color="A6C9E2"/>
            <w:right w:val="single" w:sz="6" w:space="0" w:color="A6C9E2"/>
          </w:divBdr>
          <w:divsChild>
            <w:div w:id="1408459377">
              <w:marLeft w:val="0"/>
              <w:marRight w:val="0"/>
              <w:marTop w:val="0"/>
              <w:marBottom w:val="0"/>
              <w:divBdr>
                <w:top w:val="none" w:sz="0" w:space="0" w:color="auto"/>
                <w:left w:val="none" w:sz="0" w:space="0" w:color="auto"/>
                <w:bottom w:val="none" w:sz="0" w:space="0" w:color="auto"/>
                <w:right w:val="none" w:sz="0" w:space="0" w:color="auto"/>
              </w:divBdr>
            </w:div>
            <w:div w:id="572475861">
              <w:marLeft w:val="0"/>
              <w:marRight w:val="0"/>
              <w:marTop w:val="0"/>
              <w:marBottom w:val="0"/>
              <w:divBdr>
                <w:top w:val="none" w:sz="0" w:space="0" w:color="auto"/>
                <w:left w:val="none" w:sz="0" w:space="0" w:color="auto"/>
                <w:bottom w:val="none" w:sz="0" w:space="0" w:color="auto"/>
                <w:right w:val="none" w:sz="0" w:space="0" w:color="auto"/>
              </w:divBdr>
            </w:div>
            <w:div w:id="146437595">
              <w:marLeft w:val="0"/>
              <w:marRight w:val="0"/>
              <w:marTop w:val="0"/>
              <w:marBottom w:val="0"/>
              <w:divBdr>
                <w:top w:val="none" w:sz="0" w:space="0" w:color="auto"/>
                <w:left w:val="none" w:sz="0" w:space="0" w:color="auto"/>
                <w:bottom w:val="none" w:sz="0" w:space="0" w:color="auto"/>
                <w:right w:val="none" w:sz="0" w:space="0" w:color="auto"/>
              </w:divBdr>
            </w:div>
            <w:div w:id="2006978044">
              <w:marLeft w:val="0"/>
              <w:marRight w:val="0"/>
              <w:marTop w:val="0"/>
              <w:marBottom w:val="0"/>
              <w:divBdr>
                <w:top w:val="none" w:sz="0" w:space="0" w:color="auto"/>
                <w:left w:val="none" w:sz="0" w:space="0" w:color="auto"/>
                <w:bottom w:val="none" w:sz="0" w:space="0" w:color="auto"/>
                <w:right w:val="none" w:sz="0" w:space="0" w:color="auto"/>
              </w:divBdr>
            </w:div>
            <w:div w:id="1114712196">
              <w:marLeft w:val="0"/>
              <w:marRight w:val="0"/>
              <w:marTop w:val="240"/>
              <w:marBottom w:val="240"/>
              <w:divBdr>
                <w:top w:val="single" w:sz="6" w:space="2" w:color="DDDDDD"/>
                <w:left w:val="single" w:sz="6" w:space="2" w:color="DDDDDD"/>
                <w:bottom w:val="single" w:sz="6" w:space="2" w:color="DDDDDD"/>
                <w:right w:val="single" w:sz="6" w:space="2" w:color="DDDDDD"/>
              </w:divBdr>
            </w:div>
            <w:div w:id="1479876689">
              <w:marLeft w:val="0"/>
              <w:marRight w:val="0"/>
              <w:marTop w:val="0"/>
              <w:marBottom w:val="0"/>
              <w:divBdr>
                <w:top w:val="none" w:sz="0" w:space="0" w:color="auto"/>
                <w:left w:val="none" w:sz="0" w:space="0" w:color="auto"/>
                <w:bottom w:val="none" w:sz="0" w:space="0" w:color="auto"/>
                <w:right w:val="none" w:sz="0" w:space="0" w:color="auto"/>
              </w:divBdr>
            </w:div>
            <w:div w:id="1242062041">
              <w:marLeft w:val="0"/>
              <w:marRight w:val="0"/>
              <w:marTop w:val="0"/>
              <w:marBottom w:val="0"/>
              <w:divBdr>
                <w:top w:val="none" w:sz="0" w:space="0" w:color="auto"/>
                <w:left w:val="none" w:sz="0" w:space="0" w:color="auto"/>
                <w:bottom w:val="none" w:sz="0" w:space="0" w:color="auto"/>
                <w:right w:val="none" w:sz="0" w:space="0" w:color="auto"/>
              </w:divBdr>
            </w:div>
            <w:div w:id="88503274">
              <w:marLeft w:val="0"/>
              <w:marRight w:val="0"/>
              <w:marTop w:val="0"/>
              <w:marBottom w:val="0"/>
              <w:divBdr>
                <w:top w:val="none" w:sz="0" w:space="0" w:color="auto"/>
                <w:left w:val="none" w:sz="0" w:space="0" w:color="auto"/>
                <w:bottom w:val="none" w:sz="0" w:space="0" w:color="auto"/>
                <w:right w:val="none" w:sz="0" w:space="0" w:color="auto"/>
              </w:divBdr>
            </w:div>
            <w:div w:id="202791472">
              <w:marLeft w:val="0"/>
              <w:marRight w:val="0"/>
              <w:marTop w:val="0"/>
              <w:marBottom w:val="0"/>
              <w:divBdr>
                <w:top w:val="none" w:sz="0" w:space="0" w:color="auto"/>
                <w:left w:val="none" w:sz="0" w:space="0" w:color="auto"/>
                <w:bottom w:val="none" w:sz="0" w:space="0" w:color="auto"/>
                <w:right w:val="none" w:sz="0" w:space="0" w:color="auto"/>
              </w:divBdr>
            </w:div>
            <w:div w:id="1797599069">
              <w:marLeft w:val="0"/>
              <w:marRight w:val="0"/>
              <w:marTop w:val="0"/>
              <w:marBottom w:val="0"/>
              <w:divBdr>
                <w:top w:val="none" w:sz="0" w:space="0" w:color="auto"/>
                <w:left w:val="none" w:sz="0" w:space="0" w:color="auto"/>
                <w:bottom w:val="none" w:sz="0" w:space="0" w:color="auto"/>
                <w:right w:val="none" w:sz="0" w:space="0" w:color="auto"/>
              </w:divBdr>
            </w:div>
            <w:div w:id="109203835">
              <w:marLeft w:val="0"/>
              <w:marRight w:val="0"/>
              <w:marTop w:val="0"/>
              <w:marBottom w:val="0"/>
              <w:divBdr>
                <w:top w:val="none" w:sz="0" w:space="0" w:color="auto"/>
                <w:left w:val="none" w:sz="0" w:space="0" w:color="auto"/>
                <w:bottom w:val="none" w:sz="0" w:space="0" w:color="auto"/>
                <w:right w:val="none" w:sz="0" w:space="0" w:color="auto"/>
              </w:divBdr>
            </w:div>
            <w:div w:id="2096782072">
              <w:marLeft w:val="0"/>
              <w:marRight w:val="0"/>
              <w:marTop w:val="0"/>
              <w:marBottom w:val="0"/>
              <w:divBdr>
                <w:top w:val="none" w:sz="0" w:space="0" w:color="auto"/>
                <w:left w:val="none" w:sz="0" w:space="0" w:color="auto"/>
                <w:bottom w:val="none" w:sz="0" w:space="0" w:color="auto"/>
                <w:right w:val="none" w:sz="0" w:space="0" w:color="auto"/>
              </w:divBdr>
            </w:div>
            <w:div w:id="1981838407">
              <w:marLeft w:val="0"/>
              <w:marRight w:val="0"/>
              <w:marTop w:val="0"/>
              <w:marBottom w:val="0"/>
              <w:divBdr>
                <w:top w:val="none" w:sz="0" w:space="0" w:color="auto"/>
                <w:left w:val="none" w:sz="0" w:space="0" w:color="auto"/>
                <w:bottom w:val="none" w:sz="0" w:space="0" w:color="auto"/>
                <w:right w:val="none" w:sz="0" w:space="0" w:color="auto"/>
              </w:divBdr>
            </w:div>
            <w:div w:id="1629971315">
              <w:marLeft w:val="0"/>
              <w:marRight w:val="0"/>
              <w:marTop w:val="0"/>
              <w:marBottom w:val="0"/>
              <w:divBdr>
                <w:top w:val="none" w:sz="0" w:space="0" w:color="auto"/>
                <w:left w:val="none" w:sz="0" w:space="0" w:color="auto"/>
                <w:bottom w:val="none" w:sz="0" w:space="0" w:color="auto"/>
                <w:right w:val="none" w:sz="0" w:space="0" w:color="auto"/>
              </w:divBdr>
            </w:div>
          </w:divsChild>
        </w:div>
        <w:div w:id="1021904265">
          <w:marLeft w:val="0"/>
          <w:marRight w:val="0"/>
          <w:marTop w:val="0"/>
          <w:marBottom w:val="0"/>
          <w:divBdr>
            <w:top w:val="none" w:sz="0" w:space="0" w:color="auto"/>
            <w:left w:val="none" w:sz="0" w:space="0" w:color="auto"/>
            <w:bottom w:val="none" w:sz="0" w:space="0" w:color="auto"/>
            <w:right w:val="none" w:sz="0" w:space="0" w:color="auto"/>
          </w:divBdr>
          <w:divsChild>
            <w:div w:id="249655138">
              <w:marLeft w:val="0"/>
              <w:marRight w:val="0"/>
              <w:marTop w:val="240"/>
              <w:marBottom w:val="240"/>
              <w:divBdr>
                <w:top w:val="single" w:sz="6" w:space="0" w:color="A6C9E2"/>
                <w:left w:val="single" w:sz="6" w:space="0" w:color="A6C9E2"/>
                <w:bottom w:val="single" w:sz="6" w:space="0" w:color="A6C9E2"/>
                <w:right w:val="single" w:sz="6" w:space="0" w:color="A6C9E2"/>
              </w:divBdr>
              <w:divsChild>
                <w:div w:id="1616785664">
                  <w:marLeft w:val="0"/>
                  <w:marRight w:val="0"/>
                  <w:marTop w:val="0"/>
                  <w:marBottom w:val="0"/>
                  <w:divBdr>
                    <w:top w:val="none" w:sz="0" w:space="0" w:color="auto"/>
                    <w:left w:val="none" w:sz="0" w:space="0" w:color="auto"/>
                    <w:bottom w:val="none" w:sz="0" w:space="0" w:color="auto"/>
                    <w:right w:val="none" w:sz="0" w:space="0" w:color="auto"/>
                  </w:divBdr>
                </w:div>
                <w:div w:id="1766539167">
                  <w:marLeft w:val="0"/>
                  <w:marRight w:val="0"/>
                  <w:marTop w:val="0"/>
                  <w:marBottom w:val="0"/>
                  <w:divBdr>
                    <w:top w:val="none" w:sz="0" w:space="0" w:color="auto"/>
                    <w:left w:val="none" w:sz="0" w:space="0" w:color="auto"/>
                    <w:bottom w:val="none" w:sz="0" w:space="0" w:color="auto"/>
                    <w:right w:val="none" w:sz="0" w:space="0" w:color="auto"/>
                  </w:divBdr>
                </w:div>
                <w:div w:id="1300038786">
                  <w:marLeft w:val="0"/>
                  <w:marRight w:val="0"/>
                  <w:marTop w:val="0"/>
                  <w:marBottom w:val="0"/>
                  <w:divBdr>
                    <w:top w:val="none" w:sz="0" w:space="0" w:color="auto"/>
                    <w:left w:val="none" w:sz="0" w:space="0" w:color="auto"/>
                    <w:bottom w:val="none" w:sz="0" w:space="0" w:color="auto"/>
                    <w:right w:val="none" w:sz="0" w:space="0" w:color="auto"/>
                  </w:divBdr>
                </w:div>
                <w:div w:id="29578871">
                  <w:marLeft w:val="0"/>
                  <w:marRight w:val="0"/>
                  <w:marTop w:val="0"/>
                  <w:marBottom w:val="0"/>
                  <w:divBdr>
                    <w:top w:val="none" w:sz="0" w:space="0" w:color="auto"/>
                    <w:left w:val="none" w:sz="0" w:space="0" w:color="auto"/>
                    <w:bottom w:val="none" w:sz="0" w:space="0" w:color="auto"/>
                    <w:right w:val="none" w:sz="0" w:space="0" w:color="auto"/>
                  </w:divBdr>
                </w:div>
                <w:div w:id="1012028256">
                  <w:marLeft w:val="0"/>
                  <w:marRight w:val="0"/>
                  <w:marTop w:val="0"/>
                  <w:marBottom w:val="0"/>
                  <w:divBdr>
                    <w:top w:val="none" w:sz="0" w:space="0" w:color="auto"/>
                    <w:left w:val="none" w:sz="0" w:space="0" w:color="auto"/>
                    <w:bottom w:val="none" w:sz="0" w:space="0" w:color="auto"/>
                    <w:right w:val="none" w:sz="0" w:space="0" w:color="auto"/>
                  </w:divBdr>
                </w:div>
                <w:div w:id="1153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t.twc.state.tx.us/WORKINTEXAS/wtx?u=1517321323154&amp;pageid=EM_JP_JOB_DETAILS&amp;id=72490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Robinson,Bryant</dc:creator>
  <cp:keywords/>
  <dc:description/>
  <cp:lastModifiedBy>Robinson,Bryant</cp:lastModifiedBy>
  <cp:revision>2</cp:revision>
  <dcterms:created xsi:type="dcterms:W3CDTF">2018-01-31T18:52:00Z</dcterms:created>
  <dcterms:modified xsi:type="dcterms:W3CDTF">2018-01-31T18:57:00Z</dcterms:modified>
</cp:coreProperties>
</file>